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ind w:left="0" w:leftChars="0" w:firstLine="0" w:firstLineChars="0"/>
        <w:rPr>
          <w:rFonts w:hint="eastAsia" w:ascii="Times New Roman" w:hAnsi="Times New Roman" w:eastAsia="黑体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黑体"/>
          <w:color w:val="auto"/>
          <w:sz w:val="32"/>
          <w:szCs w:val="32"/>
        </w:rPr>
        <w:t>附件</w:t>
      </w:r>
      <w:r>
        <w:rPr>
          <w:rFonts w:hint="eastAsia" w:ascii="Times New Roman" w:hAnsi="Times New Roman" w:eastAsia="黑体"/>
          <w:color w:val="auto"/>
          <w:sz w:val="32"/>
          <w:szCs w:val="32"/>
          <w:lang w:val="en-US" w:eastAsia="zh-CN"/>
        </w:rPr>
        <w:t>一</w:t>
      </w:r>
      <w:r>
        <w:rPr>
          <w:rFonts w:hint="eastAsia" w:eastAsia="黑体"/>
          <w:color w:val="auto"/>
          <w:sz w:val="32"/>
          <w:szCs w:val="32"/>
          <w:lang w:val="en-US" w:eastAsia="zh-CN"/>
        </w:rPr>
        <w:t>：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eastAsia="方正小标宋简体"/>
          <w:color w:val="auto"/>
          <w:lang w:eastAsia="zh-CN"/>
        </w:rPr>
      </w:pPr>
      <w:r>
        <w:rPr>
          <w:rFonts w:hint="eastAsia"/>
          <w:color w:val="auto"/>
        </w:rPr>
        <w:t>铜陵市“双通道”</w:t>
      </w:r>
      <w:r>
        <w:rPr>
          <w:rFonts w:hint="eastAsia"/>
          <w:color w:val="auto"/>
          <w:lang w:eastAsia="zh-CN"/>
        </w:rPr>
        <w:t>管理定点零售药店遴选方案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ascii="Times New Roman" w:hAnsi="Times New Roman" w:eastAsia="仿宋_GB2312" w:cs="Times New Roman"/>
          <w:color w:val="auto"/>
          <w:sz w:val="32"/>
        </w:rPr>
      </w:pPr>
      <w:r>
        <w:rPr>
          <w:rFonts w:hint="eastAsia" w:ascii="Times New Roman" w:hAnsi="Times New Roman" w:eastAsia="仿宋_GB2312" w:cs="Times New Roman"/>
          <w:color w:val="auto"/>
          <w:sz w:val="32"/>
        </w:rPr>
        <w:t>为</w:t>
      </w:r>
      <w:r>
        <w:rPr>
          <w:rFonts w:hint="eastAsia" w:cs="Times New Roman"/>
          <w:color w:val="auto"/>
          <w:sz w:val="32"/>
          <w:lang w:eastAsia="zh-CN"/>
        </w:rPr>
        <w:t>充分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发挥</w:t>
      </w:r>
      <w:r>
        <w:rPr>
          <w:rFonts w:hint="eastAsia" w:ascii="Times New Roman" w:hAnsi="Times New Roman" w:eastAsia="仿宋_GB2312" w:cs="Times New Roman"/>
          <w:color w:val="auto"/>
          <w:sz w:val="32"/>
          <w:lang w:val="en-US" w:eastAsia="zh-CN"/>
        </w:rPr>
        <w:t>我市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医保定点零售药店在国家医保谈判药品“双通道”供应保障方面的积极作用，进一步推动政策落地见效，</w:t>
      </w:r>
      <w:r>
        <w:rPr>
          <w:rFonts w:hint="eastAsia" w:ascii="Times New Roman" w:hAnsi="Times New Roman" w:eastAsia="仿宋_GB2312" w:cs="Times New Roman"/>
          <w:color w:val="auto"/>
          <w:sz w:val="32"/>
          <w:lang w:val="en-US" w:eastAsia="zh-CN"/>
        </w:rPr>
        <w:t>现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根据安徽省医疗保障局 安徽省卫生健康委《关于建立完善全省国家医保谈判药品“双通道”管理机制的通知》（皖医保秘〔2021〕58号）</w:t>
      </w:r>
      <w:r>
        <w:rPr>
          <w:rFonts w:hint="eastAsia" w:ascii="Times New Roman" w:hAnsi="Times New Roman" w:eastAsia="仿宋_GB2312" w:cs="Times New Roman"/>
          <w:color w:val="auto"/>
          <w:sz w:val="32"/>
          <w:lang w:val="en-US" w:eastAsia="zh-CN"/>
        </w:rPr>
        <w:t>等文件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要求，制定如下</w:t>
      </w:r>
      <w:r>
        <w:rPr>
          <w:rFonts w:hint="eastAsia" w:cs="Times New Roman"/>
          <w:color w:val="auto"/>
          <w:sz w:val="32"/>
          <w:lang w:val="en-US" w:eastAsia="zh-CN"/>
        </w:rPr>
        <w:t>遴选方案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240" w:lineRule="auto"/>
        <w:textAlignment w:val="auto"/>
        <w:rPr>
          <w:color w:val="auto"/>
        </w:rPr>
      </w:pPr>
      <w:r>
        <w:rPr>
          <w:rFonts w:hint="eastAsia"/>
          <w:color w:val="auto"/>
        </w:rPr>
        <w:t>一、遴选原则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ascii="Times New Roman" w:hAnsi="Times New Roman" w:eastAsia="仿宋_GB2312" w:cs="Times New Roman"/>
          <w:color w:val="auto"/>
          <w:sz w:val="32"/>
        </w:rPr>
      </w:pPr>
      <w:r>
        <w:rPr>
          <w:rFonts w:hint="eastAsia" w:ascii="Times New Roman" w:hAnsi="Times New Roman" w:eastAsia="仿宋_GB2312" w:cs="Times New Roman"/>
          <w:color w:val="auto"/>
          <w:sz w:val="32"/>
        </w:rPr>
        <w:t>采取医保定点零售药店自愿申请、专家评审打分、现场实地复核的办法，</w:t>
      </w:r>
      <w:r>
        <w:rPr>
          <w:rFonts w:hint="eastAsia" w:cs="Times New Roman"/>
          <w:color w:val="auto"/>
          <w:sz w:val="32"/>
          <w:lang w:eastAsia="zh-CN"/>
        </w:rPr>
        <w:t>遴选</w:t>
      </w:r>
      <w:r>
        <w:rPr>
          <w:rFonts w:hint="eastAsia" w:ascii="Times New Roman" w:hAnsi="Times New Roman" w:eastAsia="仿宋_GB2312" w:cs="Times New Roman"/>
          <w:color w:val="auto"/>
          <w:sz w:val="32"/>
          <w:lang w:val="en-US" w:eastAsia="zh-CN"/>
        </w:rPr>
        <w:t>我市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部</w:t>
      </w:r>
      <w:r>
        <w:rPr>
          <w:rFonts w:hint="eastAsia" w:cs="Times New Roman"/>
          <w:color w:val="auto"/>
          <w:sz w:val="32"/>
          <w:lang w:val="en-US" w:eastAsia="zh-CN"/>
        </w:rPr>
        <w:t>分服务设施好、人员力量强、服务行为规范</w:t>
      </w:r>
      <w:r>
        <w:rPr>
          <w:rFonts w:hint="eastAsia" w:cs="Times New Roman"/>
          <w:color w:val="auto"/>
          <w:sz w:val="32"/>
          <w:lang w:eastAsia="zh-CN"/>
        </w:rPr>
        <w:t>的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药店</w:t>
      </w:r>
      <w:r>
        <w:rPr>
          <w:rFonts w:hint="eastAsia" w:cs="Times New Roman"/>
          <w:color w:val="auto"/>
          <w:sz w:val="32"/>
          <w:lang w:val="en-US" w:eastAsia="zh-CN"/>
        </w:rPr>
        <w:t>为</w:t>
      </w:r>
      <w:r>
        <w:rPr>
          <w:rFonts w:hint="eastAsia"/>
          <w:color w:val="auto"/>
        </w:rPr>
        <w:t>“双通道”管理定点零售药店</w:t>
      </w:r>
      <w:r>
        <w:rPr>
          <w:rFonts w:hint="eastAsia"/>
          <w:color w:val="auto"/>
          <w:lang w:eastAsia="zh-CN"/>
        </w:rPr>
        <w:t>（以下简称“双通道”管理药店）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ascii="Times New Roman" w:hAnsi="Times New Roman" w:eastAsia="仿宋_GB2312" w:cs="Times New Roman"/>
          <w:color w:val="auto"/>
          <w:sz w:val="32"/>
        </w:rPr>
      </w:pPr>
      <w:r>
        <w:rPr>
          <w:rFonts w:hint="eastAsia" w:ascii="Times New Roman" w:hAnsi="Times New Roman" w:eastAsia="仿宋_GB2312" w:cs="Times New Roman"/>
          <w:color w:val="auto"/>
          <w:sz w:val="32"/>
        </w:rPr>
        <w:t>连锁药店（企业）以具体门店为申报单位，</w:t>
      </w:r>
      <w:r>
        <w:rPr>
          <w:rFonts w:hint="eastAsia" w:ascii="Times New Roman" w:hAnsi="Times New Roman" w:eastAsia="仿宋_GB2312" w:cs="Times New Roman"/>
          <w:color w:val="auto"/>
          <w:sz w:val="32"/>
          <w:lang w:val="en-US" w:eastAsia="zh-CN"/>
        </w:rPr>
        <w:t>原则上</w:t>
      </w:r>
      <w:r>
        <w:rPr>
          <w:rFonts w:hint="eastAsia" w:cs="Times New Roman"/>
          <w:color w:val="auto"/>
          <w:sz w:val="32"/>
          <w:lang w:val="en-US" w:eastAsia="zh-CN"/>
        </w:rPr>
        <w:t>一县（区）</w:t>
      </w:r>
      <w:r>
        <w:rPr>
          <w:rFonts w:hint="eastAsia" w:ascii="Times New Roman" w:hAnsi="Times New Roman" w:eastAsia="仿宋_GB2312" w:cs="Times New Roman"/>
          <w:color w:val="auto"/>
          <w:sz w:val="32"/>
          <w:lang w:val="en-US" w:eastAsia="zh-CN"/>
        </w:rPr>
        <w:t>区域内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只</w:t>
      </w:r>
      <w:r>
        <w:rPr>
          <w:rFonts w:hint="eastAsia" w:cs="Times New Roman"/>
          <w:color w:val="auto"/>
          <w:sz w:val="32"/>
          <w:lang w:eastAsia="zh-CN"/>
        </w:rPr>
        <w:t>能遴选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连锁药店（企业）的一家药店。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ascii="Times New Roman" w:hAnsi="Times New Roman" w:eastAsia="黑体" w:cs="Times New Roman"/>
          <w:color w:val="auto"/>
          <w:sz w:val="32"/>
        </w:rPr>
      </w:pPr>
      <w:r>
        <w:rPr>
          <w:rFonts w:hint="eastAsia" w:ascii="Times New Roman" w:hAnsi="Times New Roman" w:eastAsia="黑体" w:cs="Times New Roman"/>
          <w:color w:val="auto"/>
          <w:sz w:val="32"/>
        </w:rPr>
        <w:t>二、遴选数量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ascii="Times New Roman" w:hAnsi="Times New Roman" w:eastAsia="仿宋_GB2312" w:cs="Times New Roman"/>
          <w:color w:val="auto"/>
          <w:sz w:val="32"/>
        </w:rPr>
      </w:pPr>
      <w:r>
        <w:rPr>
          <w:rFonts w:hint="eastAsia" w:ascii="Times New Roman" w:hAnsi="Times New Roman" w:eastAsia="仿宋_GB2312" w:cs="Times New Roman"/>
          <w:color w:val="auto"/>
          <w:kern w:val="32"/>
          <w:sz w:val="32"/>
        </w:rPr>
        <w:t>根据评审得分</w:t>
      </w:r>
      <w:r>
        <w:rPr>
          <w:rFonts w:hint="eastAsia" w:cs="Times New Roman"/>
          <w:color w:val="auto"/>
          <w:kern w:val="32"/>
          <w:sz w:val="32"/>
          <w:lang w:eastAsia="zh-CN"/>
        </w:rPr>
        <w:t>排名</w:t>
      </w:r>
      <w:r>
        <w:rPr>
          <w:rFonts w:hint="eastAsia" w:ascii="Times New Roman" w:hAnsi="Times New Roman" w:eastAsia="仿宋_GB2312" w:cs="Times New Roman"/>
          <w:color w:val="auto"/>
          <w:kern w:val="32"/>
          <w:sz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color w:val="auto"/>
          <w:kern w:val="32"/>
          <w:sz w:val="32"/>
        </w:rPr>
        <w:t>按照</w:t>
      </w:r>
      <w:r>
        <w:rPr>
          <w:rFonts w:hint="eastAsia" w:ascii="Times New Roman" w:hAnsi="Times New Roman" w:eastAsia="仿宋_GB2312" w:cs="Times New Roman"/>
          <w:color w:val="auto"/>
          <w:kern w:val="32"/>
          <w:sz w:val="32"/>
          <w:lang w:val="en-US" w:eastAsia="zh-CN"/>
        </w:rPr>
        <w:t>药店占比和地址布局等因素合理</w:t>
      </w:r>
      <w:r>
        <w:rPr>
          <w:rFonts w:hint="eastAsia" w:ascii="Times New Roman" w:hAnsi="Times New Roman" w:eastAsia="仿宋_GB2312" w:cs="Times New Roman"/>
          <w:color w:val="auto"/>
          <w:kern w:val="32"/>
          <w:sz w:val="32"/>
        </w:rPr>
        <w:t>确定</w:t>
      </w:r>
      <w:r>
        <w:rPr>
          <w:rFonts w:hint="eastAsia"/>
          <w:color w:val="auto"/>
          <w:lang w:eastAsia="zh-CN"/>
        </w:rPr>
        <w:t>“双通道”管理药店</w:t>
      </w:r>
      <w:r>
        <w:rPr>
          <w:rFonts w:hint="eastAsia"/>
          <w:color w:val="auto"/>
          <w:lang w:val="en-US" w:eastAsia="zh-CN"/>
        </w:rPr>
        <w:t>数量</w:t>
      </w:r>
      <w:r>
        <w:rPr>
          <w:rFonts w:hint="eastAsia" w:ascii="Times New Roman" w:hAnsi="Times New Roman" w:eastAsia="仿宋_GB2312" w:cs="Times New Roman"/>
          <w:color w:val="auto"/>
          <w:kern w:val="32"/>
          <w:sz w:val="32"/>
        </w:rPr>
        <w:t>。</w:t>
      </w:r>
      <w:r>
        <w:rPr>
          <w:rFonts w:hint="eastAsia"/>
          <w:color w:val="auto"/>
          <w:sz w:val="32"/>
          <w:szCs w:val="32"/>
          <w:lang w:eastAsia="zh-CN"/>
        </w:rPr>
        <w:t>枞阳县、义安区</w:t>
      </w:r>
      <w:r>
        <w:rPr>
          <w:rFonts w:hint="eastAsia"/>
          <w:color w:val="auto"/>
          <w:sz w:val="32"/>
          <w:szCs w:val="32"/>
        </w:rPr>
        <w:t>原则上</w:t>
      </w:r>
      <w:r>
        <w:rPr>
          <w:rFonts w:hint="eastAsia"/>
          <w:color w:val="auto"/>
          <w:sz w:val="32"/>
          <w:szCs w:val="32"/>
          <w:lang w:eastAsia="zh-CN"/>
        </w:rPr>
        <w:t>各遴选</w:t>
      </w:r>
      <w:r>
        <w:rPr>
          <w:rFonts w:hint="eastAsia"/>
          <w:color w:val="auto"/>
          <w:sz w:val="32"/>
          <w:szCs w:val="32"/>
        </w:rPr>
        <w:t>1</w:t>
      </w:r>
      <w:r>
        <w:rPr>
          <w:rFonts w:hint="eastAsia"/>
          <w:color w:val="auto"/>
          <w:sz w:val="32"/>
          <w:szCs w:val="32"/>
          <w:lang w:val="en-US" w:eastAsia="zh-CN"/>
        </w:rPr>
        <w:t>~2</w:t>
      </w:r>
      <w:r>
        <w:rPr>
          <w:rFonts w:hint="eastAsia"/>
          <w:color w:val="auto"/>
          <w:sz w:val="32"/>
          <w:szCs w:val="32"/>
        </w:rPr>
        <w:t>家</w:t>
      </w:r>
      <w:r>
        <w:rPr>
          <w:rFonts w:hint="eastAsia"/>
          <w:color w:val="auto"/>
          <w:lang w:eastAsia="zh-CN"/>
        </w:rPr>
        <w:t>“双通道”管理药店</w:t>
      </w:r>
      <w:r>
        <w:rPr>
          <w:rFonts w:hint="eastAsia"/>
          <w:color w:val="auto"/>
          <w:sz w:val="32"/>
          <w:szCs w:val="32"/>
        </w:rPr>
        <w:t>，市</w:t>
      </w:r>
      <w:r>
        <w:rPr>
          <w:rFonts w:hint="eastAsia"/>
          <w:color w:val="auto"/>
          <w:sz w:val="32"/>
          <w:szCs w:val="32"/>
          <w:lang w:eastAsia="zh-CN"/>
        </w:rPr>
        <w:t>本级</w:t>
      </w:r>
      <w:r>
        <w:rPr>
          <w:rFonts w:hint="eastAsia"/>
          <w:color w:val="auto"/>
          <w:sz w:val="32"/>
          <w:szCs w:val="32"/>
        </w:rPr>
        <w:t>可适当增加数量。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ascii="Times New Roman" w:hAnsi="Times New Roman" w:eastAsia="黑体" w:cs="Times New Roman"/>
          <w:color w:val="auto"/>
          <w:sz w:val="32"/>
        </w:rPr>
      </w:pPr>
      <w:r>
        <w:rPr>
          <w:rFonts w:hint="eastAsia" w:ascii="Times New Roman" w:hAnsi="Times New Roman" w:eastAsia="黑体" w:cs="Times New Roman"/>
          <w:color w:val="auto"/>
          <w:sz w:val="32"/>
        </w:rPr>
        <w:t>三、供应</w:t>
      </w:r>
      <w:r>
        <w:rPr>
          <w:rFonts w:hint="eastAsia" w:eastAsia="黑体" w:cs="Times New Roman"/>
          <w:color w:val="auto"/>
          <w:sz w:val="32"/>
          <w:lang w:val="en-US" w:eastAsia="zh-CN"/>
        </w:rPr>
        <w:t>药品</w:t>
      </w:r>
      <w:r>
        <w:rPr>
          <w:rFonts w:hint="eastAsia" w:ascii="Times New Roman" w:hAnsi="Times New Roman" w:eastAsia="黑体" w:cs="Times New Roman"/>
          <w:color w:val="auto"/>
          <w:sz w:val="32"/>
        </w:rPr>
        <w:t>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32"/>
          <w:sz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省级医保部门统一发布“双通道”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管理药品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目录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前，</w:t>
      </w:r>
      <w:r>
        <w:rPr>
          <w:rFonts w:hint="eastAsia"/>
          <w:color w:val="auto"/>
          <w:sz w:val="32"/>
          <w:szCs w:val="32"/>
          <w:lang w:val="en-US" w:eastAsia="zh-CN"/>
        </w:rPr>
        <w:t>暂定为《国家基本医疗保险、工伤保险和生育保险药品目录（2020年）》协议期内谈判药品及门诊慢特病患者确需在院外购买的药品（需开具医疗机构外购处方），待省级目录发布后及时进行调整。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Times New Roman" w:hAnsi="Times New Roman" w:eastAsia="黑体" w:cs="Times New Roman"/>
          <w:color w:val="auto"/>
          <w:sz w:val="32"/>
          <w:lang w:val="en-US" w:eastAsia="zh-CN"/>
        </w:rPr>
      </w:pPr>
      <w:r>
        <w:rPr>
          <w:rFonts w:hint="eastAsia" w:ascii="Times New Roman" w:hAnsi="Times New Roman" w:eastAsia="黑体" w:cs="Times New Roman"/>
          <w:color w:val="auto"/>
          <w:sz w:val="32"/>
        </w:rPr>
        <w:t>四、</w:t>
      </w:r>
      <w:r>
        <w:rPr>
          <w:rFonts w:hint="eastAsia" w:eastAsia="黑体" w:cs="Times New Roman"/>
          <w:color w:val="auto"/>
          <w:sz w:val="32"/>
          <w:lang w:val="en-US" w:eastAsia="zh-CN"/>
        </w:rPr>
        <w:t>遴选条件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Times New Roman" w:hAnsi="Times New Roman" w:eastAsia="仿宋_GB2312" w:cs="Times New Roman"/>
          <w:color w:val="auto"/>
          <w:sz w:val="32"/>
        </w:rPr>
      </w:pPr>
      <w:r>
        <w:rPr>
          <w:rFonts w:hint="eastAsia" w:ascii="Times New Roman" w:hAnsi="Times New Roman" w:eastAsia="仿宋_GB2312" w:cs="Times New Roman"/>
          <w:color w:val="auto"/>
          <w:sz w:val="32"/>
        </w:rPr>
        <w:t>1</w:t>
      </w:r>
      <w:r>
        <w:rPr>
          <w:rFonts w:hint="eastAsia" w:ascii="Times New Roman" w:hAnsi="Times New Roman" w:eastAsia="仿宋_GB2312" w:cs="Times New Roman"/>
          <w:color w:val="auto"/>
          <w:sz w:val="32"/>
          <w:lang w:eastAsia="zh-CN"/>
        </w:rPr>
        <w:t>、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系</w:t>
      </w:r>
      <w:r>
        <w:rPr>
          <w:rFonts w:hint="eastAsia" w:ascii="Times New Roman" w:hAnsi="Times New Roman" w:eastAsia="仿宋_GB2312" w:cs="Times New Roman"/>
          <w:color w:val="auto"/>
          <w:sz w:val="32"/>
          <w:lang w:eastAsia="zh-CN"/>
        </w:rPr>
        <w:t>我市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医保定点零售药店，20</w:t>
      </w:r>
      <w:r>
        <w:rPr>
          <w:rFonts w:hint="eastAsia" w:ascii="Times New Roman" w:hAnsi="Times New Roman" w:eastAsia="仿宋_GB2312" w:cs="Times New Roman"/>
          <w:color w:val="auto"/>
          <w:sz w:val="32"/>
          <w:lang w:val="en-US" w:eastAsia="zh-CN"/>
        </w:rPr>
        <w:t>20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年</w:t>
      </w:r>
      <w:r>
        <w:rPr>
          <w:rFonts w:hint="eastAsia" w:cs="Times New Roman"/>
          <w:color w:val="auto"/>
          <w:sz w:val="32"/>
          <w:lang w:val="en-US" w:eastAsia="zh-CN"/>
        </w:rPr>
        <w:t>8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月</w:t>
      </w:r>
      <w:r>
        <w:rPr>
          <w:rFonts w:hint="eastAsia" w:cs="Times New Roman"/>
          <w:color w:val="auto"/>
          <w:sz w:val="32"/>
          <w:lang w:val="en-US" w:eastAsia="zh-CN"/>
        </w:rPr>
        <w:t>1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日以来没有医保违规行为</w:t>
      </w:r>
      <w:r>
        <w:rPr>
          <w:rFonts w:hint="eastAsia" w:ascii="Times New Roman" w:hAnsi="Times New Roman" w:eastAsia="仿宋_GB2312" w:cs="Times New Roman"/>
          <w:color w:val="auto"/>
          <w:sz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未受到医保、市场监管等</w:t>
      </w:r>
      <w:r>
        <w:rPr>
          <w:rFonts w:hint="eastAsia" w:cs="Times New Roman"/>
          <w:color w:val="auto"/>
          <w:sz w:val="32"/>
          <w:lang w:eastAsia="zh-CN"/>
        </w:rPr>
        <w:t>相关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部门处罚。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highlight w:val="none"/>
          <w:lang w:val="en-US" w:eastAsia="zh-CN"/>
        </w:rPr>
      </w:pPr>
      <w:r>
        <w:rPr>
          <w:rFonts w:hint="eastAsia" w:cs="Times New Roman"/>
          <w:color w:val="auto"/>
          <w:sz w:val="32"/>
          <w:highlight w:val="none"/>
          <w:lang w:val="en-US" w:eastAsia="zh-CN"/>
        </w:rPr>
        <w:t>2</w:t>
      </w:r>
      <w:r>
        <w:rPr>
          <w:rFonts w:hint="eastAsia" w:ascii="Times New Roman" w:hAnsi="Times New Roman" w:eastAsia="仿宋_GB2312" w:cs="Times New Roman"/>
          <w:color w:val="auto"/>
          <w:sz w:val="32"/>
          <w:highlight w:val="none"/>
          <w:lang w:eastAsia="zh-CN"/>
        </w:rPr>
        <w:t>、</w:t>
      </w:r>
      <w:r>
        <w:rPr>
          <w:rFonts w:hint="eastAsia" w:cs="Times New Roman"/>
          <w:color w:val="auto"/>
          <w:sz w:val="32"/>
          <w:highlight w:val="none"/>
          <w:lang w:eastAsia="zh-CN"/>
        </w:rPr>
        <w:t>具</w:t>
      </w:r>
      <w:r>
        <w:rPr>
          <w:rFonts w:hint="eastAsia" w:ascii="Times New Roman" w:hAnsi="Times New Roman" w:eastAsia="仿宋_GB2312" w:cs="Times New Roman"/>
          <w:color w:val="auto"/>
          <w:sz w:val="32"/>
          <w:highlight w:val="none"/>
        </w:rPr>
        <w:t>有2</w:t>
      </w:r>
      <w:r>
        <w:rPr>
          <w:rFonts w:hint="eastAsia" w:ascii="Times New Roman" w:hAnsi="Times New Roman" w:eastAsia="仿宋_GB2312" w:cs="Times New Roman"/>
          <w:color w:val="auto"/>
          <w:sz w:val="32"/>
          <w:highlight w:val="none"/>
          <w:lang w:val="en-US" w:eastAsia="zh-CN"/>
        </w:rPr>
        <w:t>名</w:t>
      </w:r>
      <w:r>
        <w:rPr>
          <w:rFonts w:hint="eastAsia" w:ascii="Times New Roman" w:hAnsi="Times New Roman" w:eastAsia="仿宋_GB2312" w:cs="Times New Roman"/>
          <w:color w:val="auto"/>
          <w:sz w:val="32"/>
          <w:highlight w:val="none"/>
        </w:rPr>
        <w:t>以上执业药师，并在2</w:t>
      </w:r>
      <w:r>
        <w:rPr>
          <w:rFonts w:ascii="Times New Roman" w:hAnsi="Times New Roman" w:eastAsia="仿宋_GB2312" w:cs="Times New Roman"/>
          <w:color w:val="auto"/>
          <w:sz w:val="32"/>
          <w:highlight w:val="none"/>
        </w:rPr>
        <w:t>02</w:t>
      </w:r>
      <w:r>
        <w:rPr>
          <w:rFonts w:hint="eastAsia" w:ascii="Times New Roman" w:hAnsi="Times New Roman" w:eastAsia="仿宋_GB2312" w:cs="Times New Roman"/>
          <w:color w:val="auto"/>
          <w:sz w:val="32"/>
          <w:highlight w:val="none"/>
          <w:lang w:val="en-US" w:eastAsia="zh-CN"/>
        </w:rPr>
        <w:t>1</w:t>
      </w:r>
      <w:r>
        <w:rPr>
          <w:rFonts w:ascii="Times New Roman" w:hAnsi="Times New Roman" w:eastAsia="仿宋_GB2312" w:cs="Times New Roman"/>
          <w:color w:val="auto"/>
          <w:sz w:val="32"/>
          <w:highlight w:val="none"/>
        </w:rPr>
        <w:t>年</w:t>
      </w:r>
      <w:r>
        <w:rPr>
          <w:rFonts w:hint="eastAsia" w:cs="Times New Roman"/>
          <w:color w:val="auto"/>
          <w:sz w:val="32"/>
          <w:highlight w:val="none"/>
          <w:lang w:val="en-US" w:eastAsia="zh-CN"/>
        </w:rPr>
        <w:t>8</w:t>
      </w:r>
      <w:r>
        <w:rPr>
          <w:rFonts w:hint="eastAsia" w:ascii="Times New Roman" w:hAnsi="Times New Roman" w:eastAsia="仿宋_GB2312" w:cs="Times New Roman"/>
          <w:color w:val="auto"/>
          <w:sz w:val="32"/>
          <w:highlight w:val="none"/>
        </w:rPr>
        <w:t>月</w:t>
      </w:r>
      <w:r>
        <w:rPr>
          <w:rFonts w:hint="eastAsia" w:cs="Times New Roman"/>
          <w:color w:val="auto"/>
          <w:sz w:val="32"/>
          <w:highlight w:val="none"/>
          <w:lang w:val="en-US" w:eastAsia="zh-CN"/>
        </w:rPr>
        <w:t>20</w:t>
      </w:r>
      <w:r>
        <w:rPr>
          <w:rFonts w:ascii="Times New Roman" w:hAnsi="Times New Roman" w:eastAsia="仿宋_GB2312" w:cs="Times New Roman"/>
          <w:color w:val="auto"/>
          <w:sz w:val="32"/>
          <w:highlight w:val="none"/>
        </w:rPr>
        <w:t>日前在申请药店完成注册</w:t>
      </w:r>
      <w:r>
        <w:rPr>
          <w:rFonts w:hint="eastAsia" w:cs="Times New Roman"/>
          <w:color w:val="auto"/>
          <w:sz w:val="32"/>
          <w:highlight w:val="none"/>
          <w:lang w:val="en-US" w:eastAsia="zh-CN"/>
        </w:rPr>
        <w:t>（可含</w:t>
      </w:r>
      <w:r>
        <w:rPr>
          <w:rFonts w:hint="eastAsia" w:ascii="Times New Roman" w:hAnsi="Times New Roman" w:eastAsia="仿宋_GB2312" w:cs="Times New Roman"/>
          <w:color w:val="auto"/>
          <w:sz w:val="32"/>
          <w:highlight w:val="none"/>
        </w:rPr>
        <w:t>2</w:t>
      </w:r>
      <w:r>
        <w:rPr>
          <w:rFonts w:ascii="Times New Roman" w:hAnsi="Times New Roman" w:eastAsia="仿宋_GB2312" w:cs="Times New Roman"/>
          <w:color w:val="auto"/>
          <w:sz w:val="32"/>
          <w:highlight w:val="none"/>
        </w:rPr>
        <w:t>02</w:t>
      </w:r>
      <w:r>
        <w:rPr>
          <w:rFonts w:hint="eastAsia" w:ascii="Times New Roman" w:hAnsi="Times New Roman" w:eastAsia="仿宋_GB2312" w:cs="Times New Roman"/>
          <w:color w:val="auto"/>
          <w:sz w:val="32"/>
          <w:highlight w:val="none"/>
          <w:lang w:val="en-US" w:eastAsia="zh-CN"/>
        </w:rPr>
        <w:t>1</w:t>
      </w:r>
      <w:r>
        <w:rPr>
          <w:rFonts w:ascii="Times New Roman" w:hAnsi="Times New Roman" w:eastAsia="仿宋_GB2312" w:cs="Times New Roman"/>
          <w:color w:val="auto"/>
          <w:sz w:val="32"/>
          <w:highlight w:val="none"/>
        </w:rPr>
        <w:t>年</w:t>
      </w:r>
      <w:r>
        <w:rPr>
          <w:rFonts w:hint="eastAsia" w:cs="Times New Roman"/>
          <w:color w:val="auto"/>
          <w:sz w:val="32"/>
          <w:highlight w:val="none"/>
          <w:lang w:val="en-US" w:eastAsia="zh-CN"/>
        </w:rPr>
        <w:t>8</w:t>
      </w:r>
      <w:r>
        <w:rPr>
          <w:rFonts w:hint="eastAsia" w:ascii="Times New Roman" w:hAnsi="Times New Roman" w:eastAsia="仿宋_GB2312" w:cs="Times New Roman"/>
          <w:color w:val="auto"/>
          <w:sz w:val="32"/>
          <w:highlight w:val="none"/>
        </w:rPr>
        <w:t>月</w:t>
      </w:r>
      <w:r>
        <w:rPr>
          <w:rFonts w:hint="eastAsia" w:cs="Times New Roman"/>
          <w:color w:val="auto"/>
          <w:sz w:val="32"/>
          <w:highlight w:val="none"/>
          <w:lang w:val="en-US" w:eastAsia="zh-CN"/>
        </w:rPr>
        <w:t>20</w:t>
      </w:r>
      <w:r>
        <w:rPr>
          <w:rFonts w:ascii="Times New Roman" w:hAnsi="Times New Roman" w:eastAsia="仿宋_GB2312" w:cs="Times New Roman"/>
          <w:color w:val="auto"/>
          <w:sz w:val="32"/>
          <w:highlight w:val="none"/>
        </w:rPr>
        <w:t>日前</w:t>
      </w:r>
      <w:r>
        <w:rPr>
          <w:rFonts w:hint="eastAsia" w:cs="Times New Roman"/>
          <w:color w:val="auto"/>
          <w:sz w:val="32"/>
          <w:highlight w:val="none"/>
          <w:lang w:val="en-US" w:eastAsia="zh-CN"/>
        </w:rPr>
        <w:t>由连锁公司派遣到该申请药店工作的执业药师）。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ascii="Times New Roman" w:hAnsi="Times New Roman" w:eastAsia="仿宋_GB2312" w:cs="Times New Roman"/>
          <w:color w:val="auto"/>
          <w:sz w:val="32"/>
        </w:rPr>
      </w:pPr>
      <w:r>
        <w:rPr>
          <w:rFonts w:hint="eastAsia" w:cs="Times New Roman"/>
          <w:color w:val="auto"/>
          <w:sz w:val="32"/>
          <w:lang w:val="en-US" w:eastAsia="zh-CN"/>
        </w:rPr>
        <w:t>3</w:t>
      </w:r>
      <w:r>
        <w:rPr>
          <w:rFonts w:hint="eastAsia" w:ascii="Times New Roman" w:hAnsi="Times New Roman" w:eastAsia="仿宋_GB2312" w:cs="Times New Roman"/>
          <w:color w:val="auto"/>
          <w:sz w:val="32"/>
          <w:lang w:eastAsia="zh-CN"/>
        </w:rPr>
        <w:t>、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具备完善的内部管理制度，包括财务管理制度、药品进销存制度、配送管理制度、患者服务流程及慈善赠药服务管理办法。门店内部相关岗位设置齐全。为参保人员购药单独建账、处方分类装订保存。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ascii="Times New Roman" w:hAnsi="Times New Roman" w:eastAsia="仿宋_GB2312" w:cs="Times New Roman"/>
          <w:color w:val="auto"/>
          <w:sz w:val="32"/>
        </w:rPr>
      </w:pPr>
      <w:r>
        <w:rPr>
          <w:rFonts w:hint="eastAsia" w:cs="Times New Roman"/>
          <w:color w:val="auto"/>
          <w:sz w:val="32"/>
          <w:lang w:val="en-US" w:eastAsia="zh-CN"/>
        </w:rPr>
        <w:t>4</w:t>
      </w:r>
      <w:r>
        <w:rPr>
          <w:rFonts w:hint="eastAsia" w:ascii="Times New Roman" w:hAnsi="Times New Roman" w:eastAsia="仿宋_GB2312" w:cs="Times New Roman"/>
          <w:color w:val="auto"/>
          <w:sz w:val="32"/>
          <w:lang w:eastAsia="zh-CN"/>
        </w:rPr>
        <w:t>、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具备药店至患者侧的配送管理能力，具有为患者提供用药提醒、用药指导和随访跟踪等服务管理能力，建有相应的信息化管理系统者优先。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ascii="Times New Roman" w:hAnsi="Times New Roman" w:eastAsia="仿宋_GB2312" w:cs="Times New Roman"/>
          <w:color w:val="auto"/>
          <w:sz w:val="32"/>
        </w:rPr>
      </w:pPr>
      <w:r>
        <w:rPr>
          <w:rFonts w:hint="eastAsia" w:cs="Times New Roman"/>
          <w:color w:val="auto"/>
          <w:sz w:val="32"/>
          <w:lang w:val="en-US" w:eastAsia="zh-CN"/>
        </w:rPr>
        <w:t>5</w:t>
      </w:r>
      <w:r>
        <w:rPr>
          <w:rFonts w:hint="eastAsia" w:ascii="Times New Roman" w:hAnsi="Times New Roman" w:eastAsia="仿宋_GB2312" w:cs="Times New Roman"/>
          <w:color w:val="auto"/>
          <w:sz w:val="32"/>
          <w:lang w:eastAsia="zh-CN"/>
        </w:rPr>
        <w:t>、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经营冷链药品的，应具备经GSP冷链认证的专业冷藏室（库）或冷藏柜，配备专用应急电源和温湿度监控设备，制定冷链储存应急预案、冷链药品配送操作规程及冷链配送服务能力。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lang w:val="en-US" w:eastAsia="zh-CN"/>
        </w:rPr>
      </w:pPr>
      <w:bookmarkStart w:id="0" w:name="_Hlk43367373"/>
      <w:r>
        <w:rPr>
          <w:rFonts w:hint="eastAsia" w:cs="Times New Roman"/>
          <w:color w:val="auto"/>
          <w:sz w:val="32"/>
          <w:lang w:val="en-US" w:eastAsia="zh-CN"/>
        </w:rPr>
        <w:t>6</w:t>
      </w:r>
      <w:r>
        <w:rPr>
          <w:rFonts w:hint="eastAsia" w:ascii="Times New Roman" w:hAnsi="Times New Roman" w:eastAsia="仿宋_GB2312" w:cs="Times New Roman"/>
          <w:color w:val="auto"/>
          <w:sz w:val="32"/>
          <w:lang w:eastAsia="zh-CN"/>
        </w:rPr>
        <w:t>、申请药店同一平面经营面积</w:t>
      </w:r>
      <w:r>
        <w:rPr>
          <w:rFonts w:hint="eastAsia" w:cs="Times New Roman"/>
          <w:color w:val="auto"/>
          <w:sz w:val="32"/>
          <w:lang w:val="en-US" w:eastAsia="zh-CN"/>
        </w:rPr>
        <w:t>不得低于100平米，经营场所环境优越者可适当加分。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ascii="Times New Roman" w:hAnsi="Times New Roman" w:eastAsia="仿宋_GB2312" w:cs="Times New Roman"/>
          <w:color w:val="auto"/>
          <w:sz w:val="32"/>
        </w:rPr>
      </w:pPr>
      <w:r>
        <w:rPr>
          <w:rFonts w:hint="eastAsia" w:cs="Times New Roman"/>
          <w:color w:val="auto"/>
          <w:sz w:val="32"/>
          <w:lang w:val="en-US" w:eastAsia="zh-CN"/>
        </w:rPr>
        <w:t>7、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截至</w:t>
      </w:r>
      <w:bookmarkEnd w:id="0"/>
      <w:r>
        <w:rPr>
          <w:rFonts w:hint="eastAsia" w:ascii="Times New Roman" w:hAnsi="Times New Roman" w:eastAsia="仿宋_GB2312" w:cs="Times New Roman"/>
          <w:color w:val="auto"/>
          <w:sz w:val="32"/>
        </w:rPr>
        <w:t>20</w:t>
      </w:r>
      <w:r>
        <w:rPr>
          <w:rFonts w:hint="eastAsia" w:ascii="Times New Roman" w:hAnsi="Times New Roman" w:eastAsia="仿宋_GB2312" w:cs="Times New Roman"/>
          <w:color w:val="auto"/>
          <w:sz w:val="32"/>
          <w:lang w:val="en-US" w:eastAsia="zh-CN"/>
        </w:rPr>
        <w:t>2</w:t>
      </w:r>
      <w:r>
        <w:rPr>
          <w:rFonts w:hint="eastAsia" w:cs="Times New Roman"/>
          <w:color w:val="auto"/>
          <w:sz w:val="32"/>
          <w:lang w:val="en-US" w:eastAsia="zh-CN"/>
        </w:rPr>
        <w:t>1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年</w:t>
      </w:r>
      <w:r>
        <w:rPr>
          <w:rFonts w:hint="eastAsia" w:cs="Times New Roman"/>
          <w:color w:val="auto"/>
          <w:sz w:val="32"/>
          <w:lang w:val="en-US" w:eastAsia="zh-CN"/>
        </w:rPr>
        <w:t>8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月</w:t>
      </w:r>
      <w:r>
        <w:rPr>
          <w:rFonts w:hint="eastAsia" w:cs="Times New Roman"/>
          <w:color w:val="auto"/>
          <w:sz w:val="32"/>
          <w:lang w:val="en-US" w:eastAsia="zh-CN"/>
        </w:rPr>
        <w:t>20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日</w:t>
      </w:r>
      <w:r>
        <w:rPr>
          <w:rFonts w:hint="eastAsia" w:cs="Times New Roman"/>
          <w:color w:val="auto"/>
          <w:sz w:val="32"/>
          <w:lang w:val="en-US" w:eastAsia="zh-CN"/>
        </w:rPr>
        <w:t>已开展</w:t>
      </w:r>
      <w:r>
        <w:rPr>
          <w:rFonts w:hint="eastAsia" w:ascii="Times New Roman" w:hAnsi="Times New Roman" w:eastAsia="仿宋_GB2312" w:cs="Times New Roman"/>
          <w:color w:val="auto"/>
          <w:sz w:val="32"/>
          <w:lang w:eastAsia="zh-CN"/>
        </w:rPr>
        <w:t>国家医保谈判药品</w:t>
      </w:r>
      <w:r>
        <w:rPr>
          <w:rFonts w:hint="eastAsia" w:cs="Times New Roman"/>
          <w:color w:val="auto"/>
          <w:sz w:val="32"/>
          <w:lang w:val="en-US" w:eastAsia="zh-CN"/>
        </w:rPr>
        <w:t>销售的定点零售药店可适当加分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ascii="Times New Roman" w:hAnsi="Times New Roman" w:eastAsia="黑体" w:cs="Times New Roman"/>
          <w:color w:val="auto"/>
          <w:sz w:val="32"/>
        </w:rPr>
      </w:pPr>
      <w:r>
        <w:rPr>
          <w:rFonts w:hint="eastAsia" w:ascii="Times New Roman" w:hAnsi="Times New Roman" w:eastAsia="黑体" w:cs="Times New Roman"/>
          <w:color w:val="auto"/>
          <w:sz w:val="32"/>
        </w:rPr>
        <w:t>五、实施步骤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cs="Times New Roman"/>
          <w:color w:val="auto"/>
          <w:sz w:val="32"/>
          <w:lang w:eastAsia="zh-CN"/>
        </w:rPr>
      </w:pPr>
      <w:r>
        <w:rPr>
          <w:rFonts w:hint="eastAsia" w:ascii="Times New Roman" w:hAnsi="Times New Roman" w:eastAsia="楷体_GB2312" w:cs="Times New Roman"/>
          <w:color w:val="auto"/>
          <w:sz w:val="32"/>
        </w:rPr>
        <w:t>（一）申请。</w:t>
      </w:r>
      <w:r>
        <w:rPr>
          <w:rFonts w:hint="eastAsia" w:ascii="Times New Roman" w:hAnsi="Times New Roman" w:eastAsia="仿宋_GB2312" w:cs="Times New Roman"/>
          <w:color w:val="auto"/>
          <w:sz w:val="32"/>
          <w:lang w:eastAsia="zh-CN"/>
        </w:rPr>
        <w:t>我市</w:t>
      </w:r>
      <w:r>
        <w:rPr>
          <w:rFonts w:hint="eastAsia" w:cs="Times New Roman"/>
          <w:color w:val="auto"/>
          <w:sz w:val="32"/>
          <w:lang w:val="en-US" w:eastAsia="zh-CN"/>
        </w:rPr>
        <w:t>医保</w:t>
      </w:r>
      <w:r>
        <w:rPr>
          <w:rFonts w:hint="eastAsia" w:ascii="Times New Roman" w:hAnsi="Times New Roman" w:eastAsia="仿宋_GB2312" w:cs="Times New Roman"/>
          <w:color w:val="auto"/>
          <w:sz w:val="32"/>
          <w:lang w:val="en-US" w:eastAsia="zh-CN"/>
        </w:rPr>
        <w:t>定点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零售药店均可</w:t>
      </w:r>
      <w:r>
        <w:rPr>
          <w:rFonts w:hint="eastAsia" w:cs="Times New Roman"/>
          <w:color w:val="auto"/>
          <w:sz w:val="32"/>
          <w:lang w:val="en-US" w:eastAsia="zh-CN"/>
        </w:rPr>
        <w:t>对照标准</w:t>
      </w:r>
      <w:r>
        <w:rPr>
          <w:rFonts w:hint="eastAsia" w:cs="Times New Roman"/>
          <w:color w:val="auto"/>
          <w:sz w:val="32"/>
          <w:lang w:eastAsia="zh-CN"/>
        </w:rPr>
        <w:t>自愿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提出申请。</w:t>
      </w:r>
      <w:r>
        <w:rPr>
          <w:rFonts w:hint="eastAsia"/>
          <w:color w:val="auto"/>
          <w:lang w:eastAsia="zh-CN"/>
        </w:rPr>
        <w:t>市本级范围内</w:t>
      </w:r>
      <w:r>
        <w:rPr>
          <w:rFonts w:hint="eastAsia"/>
          <w:color w:val="auto"/>
        </w:rPr>
        <w:t>申请药店</w:t>
      </w:r>
      <w:r>
        <w:rPr>
          <w:rFonts w:hint="eastAsia"/>
          <w:color w:val="auto"/>
          <w:lang w:eastAsia="zh-CN"/>
        </w:rPr>
        <w:t>请</w:t>
      </w:r>
      <w:r>
        <w:rPr>
          <w:rFonts w:hint="eastAsia"/>
          <w:color w:val="auto"/>
        </w:rPr>
        <w:t>于202</w:t>
      </w:r>
      <w:r>
        <w:rPr>
          <w:rFonts w:hint="eastAsia"/>
          <w:color w:val="auto"/>
          <w:lang w:val="en-US" w:eastAsia="zh-CN"/>
        </w:rPr>
        <w:t>1</w:t>
      </w:r>
      <w:r>
        <w:rPr>
          <w:rFonts w:hint="eastAsia"/>
          <w:color w:val="auto"/>
        </w:rPr>
        <w:t>年</w:t>
      </w:r>
      <w:r>
        <w:rPr>
          <w:rFonts w:hint="eastAsia"/>
          <w:color w:val="auto"/>
          <w:lang w:val="en-US" w:eastAsia="zh-CN"/>
        </w:rPr>
        <w:t>8</w:t>
      </w:r>
      <w:r>
        <w:rPr>
          <w:rFonts w:hint="eastAsia"/>
          <w:color w:val="auto"/>
        </w:rPr>
        <w:t>月</w:t>
      </w:r>
      <w:r>
        <w:rPr>
          <w:rFonts w:hint="eastAsia"/>
          <w:color w:val="auto"/>
          <w:lang w:val="en-US" w:eastAsia="zh-CN"/>
        </w:rPr>
        <w:t>31</w:t>
      </w:r>
      <w:r>
        <w:rPr>
          <w:rFonts w:hint="eastAsia"/>
          <w:color w:val="auto"/>
        </w:rPr>
        <w:t>日前</w:t>
      </w:r>
      <w:r>
        <w:rPr>
          <w:rFonts w:hint="eastAsia"/>
          <w:color w:val="auto"/>
          <w:lang w:eastAsia="zh-CN"/>
        </w:rPr>
        <w:t>将申请表和送审材料装订成册（一式五份）</w:t>
      </w:r>
      <w:r>
        <w:rPr>
          <w:rFonts w:hint="eastAsia"/>
          <w:color w:val="auto"/>
        </w:rPr>
        <w:t>报送至</w:t>
      </w:r>
      <w:r>
        <w:rPr>
          <w:rFonts w:hint="eastAsia"/>
          <w:color w:val="auto"/>
          <w:lang w:eastAsia="zh-CN"/>
        </w:rPr>
        <w:t>市医保局待遇保障科。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ascii="Times New Roman" w:hAnsi="Times New Roman" w:eastAsia="仿宋_GB2312" w:cs="Times New Roman"/>
          <w:color w:val="auto"/>
          <w:sz w:val="32"/>
        </w:rPr>
      </w:pPr>
      <w:r>
        <w:rPr>
          <w:rFonts w:hint="eastAsia" w:ascii="Times New Roman" w:hAnsi="Times New Roman" w:eastAsia="楷体_GB2312" w:cs="Times New Roman"/>
          <w:color w:val="auto"/>
          <w:sz w:val="32"/>
        </w:rPr>
        <w:t>（二）评审。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市医保局</w:t>
      </w:r>
      <w:r>
        <w:rPr>
          <w:rFonts w:hint="eastAsia" w:ascii="Times New Roman" w:hAnsi="Times New Roman" w:eastAsia="仿宋_GB2312" w:cs="Times New Roman"/>
          <w:color w:val="auto"/>
          <w:sz w:val="32"/>
          <w:lang w:val="en-US" w:eastAsia="zh-CN"/>
        </w:rPr>
        <w:t>将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组织专家对</w:t>
      </w:r>
      <w:r>
        <w:rPr>
          <w:rFonts w:hint="eastAsia"/>
          <w:color w:val="auto"/>
          <w:sz w:val="32"/>
          <w:szCs w:val="32"/>
        </w:rPr>
        <w:t>市</w:t>
      </w:r>
      <w:r>
        <w:rPr>
          <w:rFonts w:hint="eastAsia"/>
          <w:color w:val="auto"/>
          <w:sz w:val="32"/>
          <w:szCs w:val="32"/>
          <w:lang w:eastAsia="zh-CN"/>
        </w:rPr>
        <w:t>本级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申请药店进行评审，评审专家由临床专家、执业药师、人大代表、政协委员</w:t>
      </w:r>
      <w:r>
        <w:rPr>
          <w:rFonts w:hint="eastAsia" w:ascii="Times New Roman" w:hAnsi="Times New Roman" w:eastAsia="仿宋_GB2312" w:cs="Times New Roman"/>
          <w:color w:val="auto"/>
          <w:sz w:val="32"/>
          <w:lang w:val="en-US" w:eastAsia="zh-CN"/>
        </w:rPr>
        <w:t>和医保</w:t>
      </w:r>
      <w:r>
        <w:rPr>
          <w:rFonts w:hint="eastAsia" w:cs="Times New Roman"/>
          <w:color w:val="auto"/>
          <w:sz w:val="32"/>
          <w:lang w:val="en-US" w:eastAsia="zh-CN"/>
        </w:rPr>
        <w:t>工作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人员等组成。评审专家按照</w:t>
      </w:r>
      <w:r>
        <w:rPr>
          <w:rFonts w:hint="eastAsia" w:ascii="Times New Roman" w:hAnsi="Times New Roman" w:eastAsia="仿宋_GB2312"/>
          <w:color w:val="auto"/>
          <w:sz w:val="32"/>
          <w:szCs w:val="32"/>
        </w:rPr>
        <w:t>《铜陵市“双通道”管理定点零售药店评分标准》，</w:t>
      </w:r>
      <w:r>
        <w:rPr>
          <w:rFonts w:hint="eastAsia" w:cs="Times New Roman"/>
          <w:color w:val="auto"/>
          <w:sz w:val="32"/>
          <w:lang w:eastAsia="zh-CN"/>
        </w:rPr>
        <w:t>根据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客观公正、实事求是的原则，对</w:t>
      </w:r>
      <w:r>
        <w:rPr>
          <w:rFonts w:hint="eastAsia" w:cs="Times New Roman"/>
          <w:color w:val="auto"/>
          <w:sz w:val="32"/>
          <w:lang w:eastAsia="zh-CN"/>
        </w:rPr>
        <w:t>申请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药店资格条件、经营品种、服务和管理能力的符合性及响应性进行综合评价</w:t>
      </w:r>
      <w:r>
        <w:rPr>
          <w:rFonts w:hint="eastAsia" w:cs="Times New Roman"/>
          <w:color w:val="auto"/>
          <w:sz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逐一</w:t>
      </w:r>
      <w:r>
        <w:rPr>
          <w:rFonts w:hint="eastAsia" w:cs="Times New Roman"/>
          <w:color w:val="auto"/>
          <w:sz w:val="32"/>
          <w:lang w:eastAsia="zh-CN"/>
        </w:rPr>
        <w:t>项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进行打分</w:t>
      </w:r>
      <w:r>
        <w:rPr>
          <w:rFonts w:hint="eastAsia" w:cs="Times New Roman"/>
          <w:color w:val="auto"/>
          <w:sz w:val="32"/>
          <w:lang w:eastAsia="zh-CN"/>
        </w:rPr>
        <w:t>并汇总总分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。市纪委（监委）</w:t>
      </w:r>
      <w:r>
        <w:rPr>
          <w:rFonts w:hint="eastAsia" w:ascii="Times New Roman" w:hAnsi="Times New Roman" w:eastAsia="仿宋_GB2312" w:cs="Times New Roman"/>
          <w:color w:val="auto"/>
          <w:sz w:val="32"/>
          <w:lang w:val="en-US" w:eastAsia="zh-CN"/>
        </w:rPr>
        <w:t>派驻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纪检</w:t>
      </w:r>
      <w:r>
        <w:rPr>
          <w:rFonts w:hint="eastAsia" w:cs="Times New Roman"/>
          <w:color w:val="auto"/>
          <w:sz w:val="32"/>
          <w:lang w:val="en-US" w:eastAsia="zh-CN"/>
        </w:rPr>
        <w:t>监察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组对评审进行全程监督。评审打分结果由评审专家、纪检</w:t>
      </w:r>
      <w:r>
        <w:rPr>
          <w:rFonts w:hint="eastAsia" w:cs="Times New Roman"/>
          <w:color w:val="auto"/>
          <w:sz w:val="32"/>
          <w:lang w:val="en-US" w:eastAsia="zh-CN"/>
        </w:rPr>
        <w:t>监察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组签字确认，并按得分高低顺序初步确定</w:t>
      </w:r>
      <w:r>
        <w:rPr>
          <w:rFonts w:hint="eastAsia" w:cs="Times New Roman"/>
          <w:color w:val="auto"/>
          <w:sz w:val="32"/>
          <w:lang w:eastAsia="zh-CN"/>
        </w:rPr>
        <w:t>入围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药店</w:t>
      </w:r>
      <w:r>
        <w:rPr>
          <w:rFonts w:hint="eastAsia" w:cs="Times New Roman"/>
          <w:color w:val="auto"/>
          <w:sz w:val="32"/>
          <w:lang w:eastAsia="zh-CN"/>
        </w:rPr>
        <w:t>。市本级</w:t>
      </w:r>
      <w:r>
        <w:rPr>
          <w:rFonts w:hint="eastAsia" w:cs="Times New Roman"/>
          <w:color w:val="auto"/>
          <w:kern w:val="32"/>
          <w:sz w:val="32"/>
          <w:lang w:eastAsia="zh-CN"/>
        </w:rPr>
        <w:t>入围</w:t>
      </w:r>
      <w:r>
        <w:rPr>
          <w:rFonts w:hint="eastAsia" w:ascii="Times New Roman" w:hAnsi="Times New Roman" w:eastAsia="仿宋_GB2312" w:cs="Times New Roman"/>
          <w:color w:val="auto"/>
          <w:kern w:val="32"/>
          <w:sz w:val="32"/>
        </w:rPr>
        <w:t>药店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综合评分</w:t>
      </w:r>
      <w:r>
        <w:rPr>
          <w:rFonts w:hint="eastAsia" w:cs="Times New Roman"/>
          <w:color w:val="auto"/>
          <w:sz w:val="32"/>
          <w:lang w:eastAsia="zh-CN"/>
        </w:rPr>
        <w:t>原则上</w:t>
      </w:r>
      <w:r>
        <w:rPr>
          <w:rFonts w:hint="eastAsia" w:ascii="Times New Roman" w:hAnsi="Times New Roman" w:eastAsia="仿宋_GB2312" w:cs="Times New Roman"/>
          <w:bCs/>
          <w:color w:val="auto"/>
          <w:sz w:val="32"/>
        </w:rPr>
        <w:t>不得低于</w:t>
      </w:r>
      <w:r>
        <w:rPr>
          <w:rFonts w:hint="eastAsia" w:cs="Times New Roman"/>
          <w:bCs/>
          <w:color w:val="auto"/>
          <w:sz w:val="32"/>
          <w:lang w:val="en-US" w:eastAsia="zh-CN"/>
        </w:rPr>
        <w:t>70</w:t>
      </w:r>
      <w:r>
        <w:rPr>
          <w:rFonts w:hint="eastAsia" w:ascii="Times New Roman" w:hAnsi="Times New Roman" w:eastAsia="仿宋_GB2312" w:cs="Times New Roman"/>
          <w:bCs/>
          <w:color w:val="auto"/>
          <w:sz w:val="32"/>
        </w:rPr>
        <w:t>分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ascii="Times New Roman" w:hAnsi="Times New Roman" w:eastAsia="仿宋_GB2312" w:cs="Times New Roman"/>
          <w:color w:val="auto"/>
          <w:sz w:val="32"/>
        </w:rPr>
      </w:pPr>
      <w:r>
        <w:rPr>
          <w:rFonts w:hint="eastAsia" w:ascii="Times New Roman" w:hAnsi="Times New Roman" w:eastAsia="楷体_GB2312" w:cs="Times New Roman"/>
          <w:color w:val="auto"/>
          <w:sz w:val="32"/>
        </w:rPr>
        <w:t>（三）现场检查。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市医保局组织人员对</w:t>
      </w:r>
      <w:r>
        <w:rPr>
          <w:rFonts w:hint="eastAsia" w:cs="Times New Roman"/>
          <w:color w:val="auto"/>
          <w:sz w:val="32"/>
          <w:lang w:eastAsia="zh-CN"/>
        </w:rPr>
        <w:t>市本级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初步</w:t>
      </w:r>
      <w:r>
        <w:rPr>
          <w:rFonts w:hint="eastAsia" w:cs="Times New Roman"/>
          <w:color w:val="auto"/>
          <w:kern w:val="32"/>
          <w:sz w:val="32"/>
          <w:lang w:eastAsia="zh-CN"/>
        </w:rPr>
        <w:t>入围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药店进行现场核查，确认申请药店提供材料与实际情况是否真实一致，对提供材料与实际不符的，取消其遴选资格，并按评审打分结果依次向后递补。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ascii="Times New Roman" w:hAnsi="Times New Roman" w:eastAsia="仿宋_GB2312" w:cs="Times New Roman"/>
          <w:color w:val="auto"/>
          <w:sz w:val="32"/>
        </w:rPr>
      </w:pPr>
      <w:r>
        <w:rPr>
          <w:rFonts w:hint="eastAsia" w:ascii="Times New Roman" w:hAnsi="Times New Roman" w:eastAsia="楷体_GB2312" w:cs="Times New Roman"/>
          <w:color w:val="auto"/>
          <w:sz w:val="32"/>
        </w:rPr>
        <w:t>（</w:t>
      </w:r>
      <w:r>
        <w:rPr>
          <w:rFonts w:hint="eastAsia" w:eastAsia="楷体_GB2312" w:cs="Times New Roman"/>
          <w:color w:val="auto"/>
          <w:sz w:val="32"/>
          <w:lang w:val="en-US" w:eastAsia="zh-CN"/>
        </w:rPr>
        <w:t>四</w:t>
      </w:r>
      <w:r>
        <w:rPr>
          <w:rFonts w:hint="eastAsia" w:ascii="Times New Roman" w:hAnsi="Times New Roman" w:eastAsia="楷体_GB2312" w:cs="Times New Roman"/>
          <w:color w:val="auto"/>
          <w:sz w:val="32"/>
        </w:rPr>
        <w:t>）结果公示。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根据评审结果和现场检查情况，在</w:t>
      </w:r>
      <w:r>
        <w:rPr>
          <w:rFonts w:hint="eastAsia" w:ascii="Times New Roman" w:hAnsi="Times New Roman" w:eastAsia="仿宋_GB2312" w:cs="Times New Roman"/>
          <w:color w:val="auto"/>
          <w:sz w:val="32"/>
          <w:lang w:val="en-US" w:eastAsia="zh-CN"/>
        </w:rPr>
        <w:t>铜陵市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医保</w:t>
      </w:r>
      <w:r>
        <w:rPr>
          <w:rFonts w:hint="eastAsia" w:ascii="Times New Roman" w:hAnsi="Times New Roman" w:eastAsia="仿宋_GB2312" w:cs="Times New Roman"/>
          <w:color w:val="auto"/>
          <w:sz w:val="32"/>
          <w:lang w:val="en-US" w:eastAsia="zh-CN"/>
        </w:rPr>
        <w:t>局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门户网站公示</w:t>
      </w:r>
      <w:r>
        <w:rPr>
          <w:rFonts w:hint="eastAsia" w:cs="Times New Roman"/>
          <w:color w:val="auto"/>
          <w:sz w:val="32"/>
          <w:lang w:eastAsia="zh-CN"/>
        </w:rPr>
        <w:t>市本级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最终遴选确定药店名单。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color w:val="auto"/>
        </w:rPr>
        <w:sectPr>
          <w:footerReference r:id="rId3" w:type="default"/>
          <w:pgSz w:w="11906" w:h="16838"/>
          <w:pgMar w:top="1871" w:right="1531" w:bottom="1757" w:left="1531" w:header="851" w:footer="992" w:gutter="0"/>
          <w:cols w:space="0" w:num="1"/>
          <w:rtlGutter w:val="0"/>
          <w:docGrid w:type="lines" w:linePitch="600" w:charSpace="0"/>
        </w:sectPr>
      </w:pPr>
      <w:r>
        <w:rPr>
          <w:rFonts w:hint="eastAsia" w:ascii="Times New Roman" w:hAnsi="Times New Roman" w:eastAsia="楷体_GB2312" w:cs="Times New Roman"/>
          <w:color w:val="auto"/>
          <w:sz w:val="32"/>
        </w:rPr>
        <w:t>（</w:t>
      </w:r>
      <w:r>
        <w:rPr>
          <w:rFonts w:hint="eastAsia" w:eastAsia="楷体_GB2312" w:cs="Times New Roman"/>
          <w:color w:val="auto"/>
          <w:sz w:val="32"/>
          <w:lang w:val="en-US" w:eastAsia="zh-CN"/>
        </w:rPr>
        <w:t>五</w:t>
      </w:r>
      <w:r>
        <w:rPr>
          <w:rFonts w:hint="eastAsia" w:ascii="Times New Roman" w:hAnsi="Times New Roman" w:eastAsia="楷体_GB2312" w:cs="Times New Roman"/>
          <w:color w:val="auto"/>
          <w:sz w:val="32"/>
        </w:rPr>
        <w:t>）签订协议。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公示结果无异议的，由</w:t>
      </w:r>
      <w:r>
        <w:rPr>
          <w:rFonts w:hint="eastAsia" w:ascii="Times New Roman" w:hAnsi="Times New Roman" w:eastAsia="仿宋_GB2312" w:cs="Times New Roman"/>
          <w:color w:val="auto"/>
          <w:sz w:val="32"/>
          <w:lang w:val="en-US" w:eastAsia="zh-CN"/>
        </w:rPr>
        <w:t>市医保经办机构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与</w:t>
      </w:r>
      <w:r>
        <w:rPr>
          <w:rFonts w:hint="eastAsia" w:cs="Times New Roman"/>
          <w:color w:val="auto"/>
          <w:sz w:val="32"/>
          <w:lang w:eastAsia="zh-CN"/>
        </w:rPr>
        <w:t>市本级</w:t>
      </w:r>
      <w:r>
        <w:rPr>
          <w:rFonts w:hint="eastAsia" w:ascii="Times New Roman" w:hAnsi="Times New Roman" w:eastAsia="仿宋_GB2312" w:cs="Times New Roman"/>
          <w:color w:val="auto"/>
          <w:sz w:val="32"/>
        </w:rPr>
        <w:t>遴选确定药店签订医保服务管理协议。</w:t>
      </w:r>
    </w:p>
    <w:p>
      <w:pPr>
        <w:ind w:left="0" w:leftChars="0" w:firstLine="0" w:firstLineChars="0"/>
      </w:pP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1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FE4434"/>
    <w:rsid w:val="05EC1B30"/>
    <w:rsid w:val="38FE4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仿宋_GB2312" w:cs="黑体"/>
      <w:kern w:val="2"/>
      <w:sz w:val="32"/>
      <w:szCs w:val="3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0" w:after="0" w:afterAutospacing="0" w:line="640" w:lineRule="exact"/>
      <w:ind w:firstLine="0" w:firstLineChars="0"/>
      <w:jc w:val="center"/>
      <w:outlineLvl w:val="0"/>
    </w:pPr>
    <w:rPr>
      <w:rFonts w:hint="eastAsia" w:ascii="宋体" w:hAnsi="宋体" w:eastAsia="方正小标宋简体" w:cs="宋体"/>
      <w:kern w:val="44"/>
      <w:sz w:val="44"/>
      <w:szCs w:val="48"/>
      <w:lang w:bidi="ar"/>
    </w:rPr>
  </w:style>
  <w:style w:type="paragraph" w:styleId="4">
    <w:name w:val="heading 2"/>
    <w:basedOn w:val="1"/>
    <w:next w:val="1"/>
    <w:unhideWhenUsed/>
    <w:qFormat/>
    <w:uiPriority w:val="0"/>
    <w:pPr>
      <w:keepNext w:val="0"/>
      <w:keepLines w:val="0"/>
      <w:spacing w:beforeLines="0" w:beforeAutospacing="0" w:afterLines="0" w:afterAutospacing="0" w:line="240" w:lineRule="auto"/>
      <w:ind w:firstLine="643" w:firstLineChars="200"/>
      <w:outlineLvl w:val="1"/>
    </w:pPr>
    <w:rPr>
      <w:rFonts w:ascii="Arial" w:hAnsi="Arial" w:eastAsia="黑体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_Style 2"/>
    <w:basedOn w:val="1"/>
    <w:qFormat/>
    <w:uiPriority w:val="0"/>
    <w:pPr>
      <w:spacing w:line="351" w:lineRule="atLeast"/>
      <w:ind w:firstLine="623"/>
      <w:textAlignment w:val="baseline"/>
    </w:pPr>
    <w:rPr>
      <w:rFonts w:ascii="Times New Roman" w:hAnsi="Times New Roman" w:eastAsia="仿宋_GB2312" w:cs="Times New Roman"/>
      <w:color w:val="000000"/>
      <w:sz w:val="31"/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8">
    <w:name w:val="样式3"/>
    <w:basedOn w:val="1"/>
    <w:qFormat/>
    <w:uiPriority w:val="0"/>
    <w:rPr>
      <w:rFonts w:eastAsia="仿宋_GB2312" w:asciiTheme="minorAscii" w:hAnsiTheme="minorAscii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2021-08-20T03:01:00Z</dcterms:created>
  <dc:creator>杨（办公室）</dc:creator>
  <cp:lastModifiedBy>杨（办公室）</cp:lastModifiedBy>
  <dcterms:modified xsi:type="dcterms:W3CDTF">2021-08-20T03:02:54Z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