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left="0" w:leftChars="0" w:firstLine="0" w:firstLineChars="0"/>
        <w:jc w:val="both"/>
        <w:rPr>
          <w:rFonts w:hint="default" w:ascii="Times New Roman" w:hAnsi="Times New Roman" w:eastAsia="黑体"/>
          <w:color w:val="auto"/>
          <w:sz w:val="32"/>
          <w:szCs w:val="32"/>
          <w:lang w:val="en-US" w:eastAsia="zh-CN"/>
        </w:rPr>
      </w:pPr>
      <w:r>
        <w:rPr>
          <w:rFonts w:hint="eastAsia" w:ascii="Times New Roman" w:hAnsi="Times New Roman" w:eastAsia="黑体"/>
          <w:color w:val="auto"/>
          <w:sz w:val="32"/>
          <w:szCs w:val="32"/>
        </w:rPr>
        <w:t>附件</w:t>
      </w:r>
      <w:r>
        <w:rPr>
          <w:rFonts w:hint="eastAsia" w:eastAsia="黑体"/>
          <w:color w:val="auto"/>
          <w:sz w:val="32"/>
          <w:szCs w:val="32"/>
          <w:lang w:val="en-US" w:eastAsia="zh-CN"/>
        </w:rPr>
        <w:t>二：</w:t>
      </w:r>
    </w:p>
    <w:p>
      <w:pPr>
        <w:keepNext w:val="0"/>
        <w:keepLines w:val="0"/>
        <w:pageBreakBefore w:val="0"/>
        <w:widowControl w:val="0"/>
        <w:kinsoku/>
        <w:wordWrap/>
        <w:overflowPunct/>
        <w:topLinePunct w:val="0"/>
        <w:autoSpaceDE/>
        <w:autoSpaceDN/>
        <w:bidi w:val="0"/>
        <w:adjustRightInd/>
        <w:snapToGrid/>
        <w:spacing w:after="318" w:afterLines="50" w:line="640" w:lineRule="exact"/>
        <w:ind w:left="0" w:leftChars="0" w:firstLine="0" w:firstLineChars="0"/>
        <w:jc w:val="center"/>
        <w:textAlignment w:val="auto"/>
        <w:rPr>
          <w:rFonts w:ascii="Times New Roman" w:hAnsi="Times New Roman" w:eastAsia="方正小标宋简体" w:cs="Times New Roman"/>
          <w:color w:val="auto"/>
          <w:sz w:val="44"/>
          <w:szCs w:val="44"/>
        </w:rPr>
      </w:pPr>
      <w:r>
        <w:rPr>
          <w:rFonts w:hint="eastAsia" w:ascii="Times New Roman" w:hAnsi="Times New Roman" w:eastAsia="方正小标宋简体" w:cs="Times New Roman"/>
          <w:color w:val="auto"/>
          <w:sz w:val="44"/>
          <w:szCs w:val="44"/>
        </w:rPr>
        <w:t>铜陵市“双通道”管理定点零售药店评分标准</w:t>
      </w:r>
    </w:p>
    <w:tbl>
      <w:tblPr>
        <w:tblStyle w:val="7"/>
        <w:tblW w:w="144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4"/>
        <w:gridCol w:w="870"/>
        <w:gridCol w:w="1170"/>
        <w:gridCol w:w="3645"/>
        <w:gridCol w:w="76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blHeader/>
          <w:jc w:val="center"/>
        </w:trPr>
        <w:tc>
          <w:tcPr>
            <w:tcW w:w="106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评分项目</w:t>
            </w:r>
          </w:p>
        </w:tc>
        <w:tc>
          <w:tcPr>
            <w:tcW w:w="8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标准分</w:t>
            </w:r>
          </w:p>
        </w:tc>
        <w:tc>
          <w:tcPr>
            <w:tcW w:w="11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评分分项</w:t>
            </w:r>
          </w:p>
        </w:tc>
        <w:tc>
          <w:tcPr>
            <w:tcW w:w="36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评分标准</w:t>
            </w:r>
          </w:p>
        </w:tc>
        <w:tc>
          <w:tcPr>
            <w:tcW w:w="767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5" w:hRule="atLeast"/>
          <w:jc w:val="center"/>
        </w:trPr>
        <w:tc>
          <w:tcPr>
            <w:tcW w:w="1064"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b/>
                <w:color w:val="auto"/>
                <w:sz w:val="21"/>
                <w:szCs w:val="21"/>
                <w:lang w:val="en-US" w:eastAsia="zh-CN"/>
              </w:rPr>
            </w:pPr>
            <w:r>
              <w:rPr>
                <w:rFonts w:hint="default" w:ascii="Times New Roman" w:hAnsi="Times New Roman" w:eastAsia="宋体" w:cs="Times New Roman"/>
                <w:b/>
                <w:color w:val="auto"/>
                <w:sz w:val="21"/>
                <w:szCs w:val="21"/>
                <w:lang w:val="en-US" w:eastAsia="zh-CN"/>
              </w:rPr>
              <w:t>一、</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基本条件</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b/>
                <w:color w:val="auto"/>
                <w:sz w:val="21"/>
                <w:szCs w:val="21"/>
              </w:rPr>
              <w:t>（25分）</w:t>
            </w:r>
          </w:p>
        </w:tc>
        <w:tc>
          <w:tcPr>
            <w:tcW w:w="8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5</w:t>
            </w:r>
          </w:p>
        </w:tc>
        <w:tc>
          <w:tcPr>
            <w:tcW w:w="11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人员资质</w:t>
            </w:r>
          </w:p>
        </w:tc>
        <w:tc>
          <w:tcPr>
            <w:tcW w:w="36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tabs>
                <w:tab w:val="center" w:pos="1411"/>
              </w:tabs>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lang w:val="en-US" w:eastAsia="zh-CN"/>
              </w:rPr>
            </w:pPr>
            <w:r>
              <w:rPr>
                <w:rFonts w:hint="eastAsia" w:eastAsia="宋体" w:cs="Times New Roman"/>
                <w:color w:val="auto"/>
                <w:sz w:val="21"/>
                <w:szCs w:val="21"/>
                <w:highlight w:val="none"/>
                <w:lang w:eastAsia="zh-CN"/>
              </w:rPr>
              <w:t>具</w:t>
            </w:r>
            <w:r>
              <w:rPr>
                <w:rFonts w:hint="default" w:ascii="Times New Roman" w:hAnsi="Times New Roman" w:eastAsia="宋体" w:cs="Times New Roman"/>
                <w:color w:val="auto"/>
                <w:sz w:val="21"/>
                <w:szCs w:val="21"/>
                <w:highlight w:val="none"/>
              </w:rPr>
              <w:t>有2</w:t>
            </w:r>
            <w:r>
              <w:rPr>
                <w:rFonts w:hint="default" w:ascii="Times New Roman" w:hAnsi="Times New Roman" w:eastAsia="宋体" w:cs="Times New Roman"/>
                <w:color w:val="auto"/>
                <w:sz w:val="21"/>
                <w:szCs w:val="21"/>
                <w:highlight w:val="none"/>
                <w:lang w:val="en-US" w:eastAsia="zh-CN"/>
              </w:rPr>
              <w:t>名</w:t>
            </w:r>
            <w:r>
              <w:rPr>
                <w:rFonts w:hint="eastAsia" w:eastAsia="宋体" w:cs="Times New Roman"/>
                <w:color w:val="auto"/>
                <w:sz w:val="21"/>
                <w:szCs w:val="21"/>
                <w:highlight w:val="none"/>
                <w:lang w:val="en-US" w:eastAsia="zh-CN"/>
              </w:rPr>
              <w:t>驻店</w:t>
            </w:r>
            <w:r>
              <w:rPr>
                <w:rFonts w:hint="default" w:ascii="Times New Roman" w:hAnsi="Times New Roman" w:eastAsia="宋体" w:cs="Times New Roman"/>
                <w:color w:val="auto"/>
                <w:sz w:val="21"/>
                <w:szCs w:val="21"/>
                <w:highlight w:val="none"/>
              </w:rPr>
              <w:t>执业药师，在202</w:t>
            </w:r>
            <w:r>
              <w:rPr>
                <w:rFonts w:hint="default" w:ascii="Times New Roman" w:hAnsi="Times New Roman" w:eastAsia="宋体"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年</w:t>
            </w:r>
            <w:r>
              <w:rPr>
                <w:rFonts w:hint="eastAsia" w:eastAsia="宋体" w:cs="Times New Roman"/>
                <w:color w:val="auto"/>
                <w:sz w:val="21"/>
                <w:szCs w:val="21"/>
                <w:highlight w:val="none"/>
                <w:lang w:val="en-US" w:eastAsia="zh-CN"/>
              </w:rPr>
              <w:t>8</w:t>
            </w:r>
            <w:r>
              <w:rPr>
                <w:rFonts w:hint="default" w:ascii="Times New Roman" w:hAnsi="Times New Roman" w:eastAsia="宋体" w:cs="Times New Roman"/>
                <w:color w:val="auto"/>
                <w:sz w:val="21"/>
                <w:szCs w:val="21"/>
                <w:highlight w:val="none"/>
              </w:rPr>
              <w:t>月</w:t>
            </w:r>
            <w:r>
              <w:rPr>
                <w:rFonts w:hint="eastAsia" w:eastAsia="宋体" w:cs="Times New Roman"/>
                <w:color w:val="auto"/>
                <w:sz w:val="21"/>
                <w:szCs w:val="21"/>
                <w:highlight w:val="none"/>
                <w:lang w:val="en-US" w:eastAsia="zh-CN"/>
              </w:rPr>
              <w:t>20</w:t>
            </w:r>
            <w:r>
              <w:rPr>
                <w:rFonts w:hint="default" w:ascii="Times New Roman" w:hAnsi="Times New Roman" w:eastAsia="宋体" w:cs="Times New Roman"/>
                <w:color w:val="auto"/>
                <w:sz w:val="21"/>
                <w:szCs w:val="21"/>
                <w:highlight w:val="none"/>
              </w:rPr>
              <w:t>日前在申请药店注册并参保</w:t>
            </w:r>
            <w:r>
              <w:rPr>
                <w:rFonts w:hint="default" w:ascii="Times New Roman" w:hAnsi="Times New Roman" w:eastAsia="宋体" w:cs="Times New Roman"/>
                <w:color w:val="auto"/>
                <w:sz w:val="21"/>
                <w:szCs w:val="21"/>
                <w:highlight w:val="none"/>
                <w:lang w:val="en-US" w:eastAsia="zh-CN"/>
              </w:rPr>
              <w:t>的得4分</w:t>
            </w:r>
            <w:r>
              <w:rPr>
                <w:rFonts w:hint="default" w:ascii="Times New Roman" w:hAnsi="Times New Roman" w:eastAsia="宋体" w:cs="Times New Roman"/>
                <w:color w:val="auto"/>
                <w:sz w:val="21"/>
                <w:szCs w:val="21"/>
                <w:highlight w:val="none"/>
              </w:rPr>
              <w:t>。3人及以上的</w:t>
            </w:r>
            <w:r>
              <w:rPr>
                <w:rFonts w:hint="default" w:ascii="Times New Roman" w:hAnsi="Times New Roman" w:eastAsia="宋体" w:cs="Times New Roman"/>
                <w:color w:val="auto"/>
                <w:sz w:val="21"/>
                <w:szCs w:val="21"/>
                <w:highlight w:val="none"/>
                <w:lang w:val="en-US" w:eastAsia="zh-CN"/>
              </w:rPr>
              <w:t>可</w:t>
            </w:r>
            <w:r>
              <w:rPr>
                <w:rFonts w:hint="default" w:ascii="Times New Roman" w:hAnsi="Times New Roman" w:eastAsia="宋体" w:cs="Times New Roman"/>
                <w:color w:val="auto"/>
                <w:sz w:val="21"/>
                <w:szCs w:val="21"/>
                <w:highlight w:val="none"/>
              </w:rPr>
              <w:t>加1分。</w:t>
            </w:r>
            <w:r>
              <w:rPr>
                <w:rFonts w:hint="default" w:ascii="Times New Roman" w:hAnsi="Times New Roman" w:eastAsia="宋体" w:cs="Times New Roman"/>
                <w:color w:val="auto"/>
                <w:sz w:val="21"/>
                <w:szCs w:val="21"/>
                <w:highlight w:val="none"/>
                <w:lang w:val="en-US" w:eastAsia="zh-CN"/>
              </w:rPr>
              <w:t>满分5分。</w:t>
            </w:r>
          </w:p>
        </w:tc>
        <w:tc>
          <w:tcPr>
            <w:tcW w:w="767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1.申请药店提供执业药师名单、身份证、执业注册证复印件、社保参保缴费记录。</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2.评审专家查看执业药师名单、身份证、执业注册证和参保缴费记录复印件。</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（1）执业药师的执业注册证中“执业单位”应为申请门店，“注册日期”应为202</w:t>
            </w: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年</w:t>
            </w:r>
            <w:r>
              <w:rPr>
                <w:rFonts w:hint="eastAsia" w:eastAsia="宋体" w:cs="Times New Roman"/>
                <w:color w:val="auto"/>
                <w:sz w:val="21"/>
                <w:szCs w:val="21"/>
                <w:lang w:val="en-US" w:eastAsia="zh-CN"/>
              </w:rPr>
              <w:t>8</w:t>
            </w:r>
            <w:r>
              <w:rPr>
                <w:rFonts w:hint="default" w:ascii="Times New Roman" w:hAnsi="Times New Roman" w:eastAsia="宋体" w:cs="Times New Roman"/>
                <w:color w:val="auto"/>
                <w:sz w:val="21"/>
                <w:szCs w:val="21"/>
              </w:rPr>
              <w:t>月</w:t>
            </w:r>
            <w:r>
              <w:rPr>
                <w:rFonts w:hint="eastAsia" w:eastAsia="宋体" w:cs="Times New Roman"/>
                <w:color w:val="auto"/>
                <w:sz w:val="21"/>
                <w:szCs w:val="21"/>
                <w:lang w:val="en-US" w:eastAsia="zh-CN"/>
              </w:rPr>
              <w:t>20</w:t>
            </w:r>
            <w:r>
              <w:rPr>
                <w:rFonts w:hint="default" w:ascii="Times New Roman" w:hAnsi="Times New Roman" w:eastAsia="宋体" w:cs="Times New Roman"/>
                <w:color w:val="auto"/>
                <w:sz w:val="21"/>
                <w:szCs w:val="21"/>
              </w:rPr>
              <w:t>日前；</w:t>
            </w:r>
            <w:r>
              <w:rPr>
                <w:rFonts w:hint="eastAsia" w:eastAsia="宋体" w:cs="Times New Roman"/>
                <w:color w:val="auto"/>
                <w:sz w:val="21"/>
                <w:szCs w:val="21"/>
                <w:lang w:val="en-US" w:eastAsia="zh-CN"/>
              </w:rPr>
              <w:t>同时出具承诺该药店始终不低于申请定点时执业药师规模。没有承诺者本项不得分；</w:t>
            </w:r>
            <w:r>
              <w:rPr>
                <w:rFonts w:hint="default" w:ascii="Times New Roman" w:hAnsi="Times New Roman" w:eastAsia="宋体" w:cs="Times New Roman"/>
                <w:color w:val="auto"/>
                <w:sz w:val="21"/>
                <w:szCs w:val="21"/>
              </w:rPr>
              <w:t>（2）</w:t>
            </w:r>
            <w:r>
              <w:rPr>
                <w:rFonts w:hint="eastAsia" w:eastAsia="宋体" w:cs="Times New Roman"/>
                <w:color w:val="auto"/>
                <w:sz w:val="21"/>
                <w:szCs w:val="21"/>
                <w:lang w:val="en-US" w:eastAsia="zh-CN"/>
              </w:rPr>
              <w:t>提供</w:t>
            </w:r>
            <w:r>
              <w:rPr>
                <w:rFonts w:hint="default" w:ascii="Times New Roman" w:hAnsi="Times New Roman" w:eastAsia="宋体" w:cs="Times New Roman"/>
                <w:color w:val="auto"/>
                <w:sz w:val="21"/>
                <w:szCs w:val="21"/>
              </w:rPr>
              <w:t>社保参保缴费记录，参保时间应为202</w:t>
            </w: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年</w:t>
            </w:r>
            <w:r>
              <w:rPr>
                <w:rFonts w:hint="eastAsia" w:eastAsia="宋体" w:cs="Times New Roman"/>
                <w:color w:val="auto"/>
                <w:sz w:val="21"/>
                <w:szCs w:val="21"/>
                <w:lang w:val="en-US" w:eastAsia="zh-CN"/>
              </w:rPr>
              <w:t>8</w:t>
            </w:r>
            <w:r>
              <w:rPr>
                <w:rFonts w:hint="default" w:ascii="Times New Roman" w:hAnsi="Times New Roman" w:eastAsia="宋体" w:cs="Times New Roman"/>
                <w:color w:val="auto"/>
                <w:sz w:val="21"/>
                <w:szCs w:val="21"/>
              </w:rPr>
              <w:t>月</w:t>
            </w:r>
            <w:r>
              <w:rPr>
                <w:rFonts w:hint="eastAsia" w:eastAsia="宋体" w:cs="Times New Roman"/>
                <w:color w:val="auto"/>
                <w:sz w:val="21"/>
                <w:szCs w:val="21"/>
                <w:lang w:val="en-US" w:eastAsia="zh-CN"/>
              </w:rPr>
              <w:t>20</w:t>
            </w:r>
            <w:r>
              <w:rPr>
                <w:rFonts w:hint="default" w:ascii="Times New Roman" w:hAnsi="Times New Roman" w:eastAsia="宋体" w:cs="Times New Roman"/>
                <w:color w:val="auto"/>
                <w:sz w:val="21"/>
                <w:szCs w:val="21"/>
              </w:rPr>
              <w:t>日前；执业药师如为退休人员，则不需要提供参保记录。</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3</w:t>
            </w:r>
            <w:r>
              <w:rPr>
                <w:rFonts w:hint="default" w:ascii="Times New Roman" w:hAnsi="Times New Roman" w:eastAsia="宋体" w:cs="Times New Roman"/>
                <w:color w:val="auto"/>
                <w:sz w:val="21"/>
                <w:szCs w:val="21"/>
                <w:lang w:eastAsia="zh-CN"/>
              </w:rPr>
              <w:t>）</w:t>
            </w:r>
            <w:r>
              <w:rPr>
                <w:rFonts w:hint="eastAsia" w:eastAsia="宋体" w:cs="Times New Roman"/>
                <w:color w:val="auto"/>
                <w:sz w:val="21"/>
                <w:szCs w:val="21"/>
                <w:lang w:val="en-US" w:eastAsia="zh-CN"/>
              </w:rPr>
              <w:t>执业药师由连锁公司派遣者须出具派遣函（注明派遣时间）并承诺该药店始终不低于申请定点时执业药师规模，没有派遣函的派遣药师不计入人员数量。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1064"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left"/>
              <w:textAlignment w:val="auto"/>
              <w:rPr>
                <w:rFonts w:hint="default" w:ascii="Times New Roman" w:hAnsi="Times New Roman" w:eastAsia="宋体" w:cs="Times New Roman"/>
                <w:color w:val="auto"/>
                <w:sz w:val="21"/>
                <w:szCs w:val="21"/>
              </w:rPr>
            </w:pPr>
          </w:p>
        </w:tc>
        <w:tc>
          <w:tcPr>
            <w:tcW w:w="8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lang w:eastAsia="zh-CN"/>
              </w:rPr>
            </w:pPr>
            <w:r>
              <w:rPr>
                <w:rFonts w:hint="eastAsia" w:eastAsia="宋体" w:cs="Times New Roman"/>
                <w:color w:val="auto"/>
                <w:sz w:val="21"/>
                <w:szCs w:val="21"/>
                <w:lang w:val="en-US" w:eastAsia="zh-CN"/>
              </w:rPr>
              <w:t>6</w:t>
            </w:r>
          </w:p>
        </w:tc>
        <w:tc>
          <w:tcPr>
            <w:tcW w:w="11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经营面积</w:t>
            </w:r>
          </w:p>
        </w:tc>
        <w:tc>
          <w:tcPr>
            <w:tcW w:w="36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tabs>
                <w:tab w:val="center" w:pos="1411"/>
              </w:tabs>
              <w:kinsoku/>
              <w:wordWrap/>
              <w:overflowPunct/>
              <w:topLinePunct w:val="0"/>
              <w:autoSpaceDE/>
              <w:autoSpaceDN/>
              <w:bidi w:val="0"/>
              <w:adjustRightInd/>
              <w:snapToGrid/>
              <w:spacing w:line="300" w:lineRule="exact"/>
              <w:ind w:firstLine="0" w:firstLineChars="0"/>
              <w:textAlignment w:val="auto"/>
              <w:rPr>
                <w:rFonts w:hint="default" w:eastAsia="宋体" w:cs="Times New Roman"/>
                <w:color w:val="auto"/>
                <w:sz w:val="21"/>
                <w:szCs w:val="21"/>
                <w:highlight w:val="none"/>
                <w:lang w:eastAsia="zh-CN"/>
              </w:rPr>
            </w:pPr>
            <w:r>
              <w:rPr>
                <w:rFonts w:hint="default" w:eastAsia="宋体" w:cs="Times New Roman"/>
                <w:color w:val="auto"/>
                <w:sz w:val="21"/>
                <w:szCs w:val="21"/>
                <w:highlight w:val="none"/>
                <w:lang w:eastAsia="zh-CN"/>
              </w:rPr>
              <w:t>申请药店同一平面经营面积不得低于100平米，</w:t>
            </w:r>
            <w:r>
              <w:rPr>
                <w:rFonts w:hint="eastAsia" w:eastAsia="宋体" w:cs="Times New Roman"/>
                <w:color w:val="auto"/>
                <w:sz w:val="21"/>
                <w:szCs w:val="21"/>
                <w:highlight w:val="none"/>
                <w:lang w:val="en-US" w:eastAsia="zh-CN"/>
              </w:rPr>
              <w:t>总经营面积100（含）~</w:t>
            </w:r>
            <w:r>
              <w:rPr>
                <w:rFonts w:hint="default" w:eastAsia="宋体" w:cs="Times New Roman"/>
                <w:color w:val="auto"/>
                <w:sz w:val="21"/>
                <w:szCs w:val="21"/>
                <w:highlight w:val="none"/>
                <w:lang w:eastAsia="zh-CN"/>
              </w:rPr>
              <w:t>150平米</w:t>
            </w:r>
            <w:r>
              <w:rPr>
                <w:rFonts w:hint="eastAsia" w:eastAsia="宋体" w:cs="Times New Roman"/>
                <w:color w:val="auto"/>
                <w:sz w:val="21"/>
                <w:szCs w:val="21"/>
                <w:highlight w:val="none"/>
                <w:lang w:val="en-US" w:eastAsia="zh-CN"/>
              </w:rPr>
              <w:t>以下者</w:t>
            </w:r>
            <w:r>
              <w:rPr>
                <w:rFonts w:hint="default" w:eastAsia="宋体" w:cs="Times New Roman"/>
                <w:color w:val="auto"/>
                <w:sz w:val="21"/>
                <w:szCs w:val="21"/>
                <w:highlight w:val="none"/>
                <w:lang w:eastAsia="zh-CN"/>
              </w:rPr>
              <w:t>得</w:t>
            </w:r>
            <w:r>
              <w:rPr>
                <w:rFonts w:hint="eastAsia" w:eastAsia="宋体" w:cs="Times New Roman"/>
                <w:color w:val="auto"/>
                <w:sz w:val="21"/>
                <w:szCs w:val="21"/>
                <w:highlight w:val="none"/>
                <w:lang w:val="en-US" w:eastAsia="zh-CN"/>
              </w:rPr>
              <w:t>2</w:t>
            </w:r>
            <w:r>
              <w:rPr>
                <w:rFonts w:hint="default" w:eastAsia="宋体" w:cs="Times New Roman"/>
                <w:color w:val="auto"/>
                <w:sz w:val="21"/>
                <w:szCs w:val="21"/>
                <w:highlight w:val="none"/>
                <w:lang w:eastAsia="zh-CN"/>
              </w:rPr>
              <w:t>分，150平米</w:t>
            </w:r>
            <w:r>
              <w:rPr>
                <w:rFonts w:hint="eastAsia" w:eastAsia="宋体" w:cs="Times New Roman"/>
                <w:color w:val="auto"/>
                <w:sz w:val="21"/>
                <w:szCs w:val="21"/>
                <w:highlight w:val="none"/>
                <w:lang w:eastAsia="zh-CN"/>
              </w:rPr>
              <w:t>（</w:t>
            </w:r>
            <w:r>
              <w:rPr>
                <w:rFonts w:hint="eastAsia" w:eastAsia="宋体" w:cs="Times New Roman"/>
                <w:color w:val="auto"/>
                <w:sz w:val="21"/>
                <w:szCs w:val="21"/>
                <w:highlight w:val="none"/>
                <w:lang w:val="en-US" w:eastAsia="zh-CN"/>
              </w:rPr>
              <w:t>含</w:t>
            </w:r>
            <w:r>
              <w:rPr>
                <w:rFonts w:hint="eastAsia" w:eastAsia="宋体" w:cs="Times New Roman"/>
                <w:color w:val="auto"/>
                <w:sz w:val="21"/>
                <w:szCs w:val="21"/>
                <w:highlight w:val="none"/>
                <w:lang w:eastAsia="zh-CN"/>
              </w:rPr>
              <w:t>）</w:t>
            </w:r>
            <w:r>
              <w:rPr>
                <w:rFonts w:hint="default" w:eastAsia="宋体" w:cs="Times New Roman"/>
                <w:color w:val="auto"/>
                <w:sz w:val="21"/>
                <w:szCs w:val="21"/>
                <w:highlight w:val="none"/>
                <w:lang w:eastAsia="zh-CN"/>
              </w:rPr>
              <w:t>至200平米</w:t>
            </w:r>
            <w:r>
              <w:rPr>
                <w:rFonts w:hint="eastAsia" w:eastAsia="宋体" w:cs="Times New Roman"/>
                <w:color w:val="auto"/>
                <w:sz w:val="21"/>
                <w:szCs w:val="21"/>
                <w:highlight w:val="none"/>
                <w:lang w:val="en-US" w:eastAsia="zh-CN"/>
              </w:rPr>
              <w:t>以下者加2</w:t>
            </w:r>
            <w:r>
              <w:rPr>
                <w:rFonts w:hint="default" w:eastAsia="宋体" w:cs="Times New Roman"/>
                <w:color w:val="auto"/>
                <w:sz w:val="21"/>
                <w:szCs w:val="21"/>
                <w:highlight w:val="none"/>
                <w:lang w:eastAsia="zh-CN"/>
              </w:rPr>
              <w:t>分，200平米及以上</w:t>
            </w:r>
            <w:r>
              <w:rPr>
                <w:rFonts w:hint="eastAsia" w:eastAsia="宋体" w:cs="Times New Roman"/>
                <w:color w:val="auto"/>
                <w:sz w:val="21"/>
                <w:szCs w:val="21"/>
                <w:highlight w:val="none"/>
                <w:lang w:val="en-US" w:eastAsia="zh-CN"/>
              </w:rPr>
              <w:t>者再加2</w:t>
            </w:r>
            <w:r>
              <w:rPr>
                <w:rFonts w:hint="default" w:eastAsia="宋体" w:cs="Times New Roman"/>
                <w:color w:val="auto"/>
                <w:sz w:val="21"/>
                <w:szCs w:val="21"/>
                <w:highlight w:val="none"/>
                <w:lang w:eastAsia="zh-CN"/>
              </w:rPr>
              <w:t>分。满分</w:t>
            </w:r>
            <w:r>
              <w:rPr>
                <w:rFonts w:hint="eastAsia" w:eastAsia="宋体" w:cs="Times New Roman"/>
                <w:color w:val="auto"/>
                <w:sz w:val="21"/>
                <w:szCs w:val="21"/>
                <w:highlight w:val="none"/>
                <w:lang w:val="en-US" w:eastAsia="zh-CN"/>
              </w:rPr>
              <w:t>6</w:t>
            </w:r>
            <w:r>
              <w:rPr>
                <w:rFonts w:hint="default" w:eastAsia="宋体" w:cs="Times New Roman"/>
                <w:color w:val="auto"/>
                <w:sz w:val="21"/>
                <w:szCs w:val="21"/>
                <w:highlight w:val="none"/>
                <w:lang w:eastAsia="zh-CN"/>
              </w:rPr>
              <w:t>分。</w:t>
            </w:r>
          </w:p>
        </w:tc>
        <w:tc>
          <w:tcPr>
            <w:tcW w:w="767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tabs>
                <w:tab w:val="center" w:pos="1411"/>
              </w:tabs>
              <w:kinsoku/>
              <w:wordWrap/>
              <w:overflowPunct/>
              <w:topLinePunct w:val="0"/>
              <w:autoSpaceDE/>
              <w:autoSpaceDN/>
              <w:bidi w:val="0"/>
              <w:adjustRightInd/>
              <w:snapToGrid/>
              <w:spacing w:line="300" w:lineRule="exact"/>
              <w:ind w:firstLine="0" w:firstLineChars="0"/>
              <w:textAlignment w:val="auto"/>
              <w:rPr>
                <w:rFonts w:hint="default" w:eastAsia="宋体" w:cs="Times New Roman"/>
                <w:color w:val="auto"/>
                <w:sz w:val="21"/>
                <w:szCs w:val="21"/>
                <w:highlight w:val="none"/>
                <w:lang w:eastAsia="zh-CN"/>
              </w:rPr>
            </w:pPr>
            <w:r>
              <w:rPr>
                <w:rFonts w:hint="default" w:eastAsia="宋体" w:cs="Times New Roman"/>
                <w:color w:val="auto"/>
                <w:sz w:val="21"/>
                <w:szCs w:val="21"/>
                <w:highlight w:val="none"/>
                <w:lang w:eastAsia="zh-CN"/>
              </w:rPr>
              <w:t>1.申请药店提供的标注尺寸的门店平面图、房产证或房屋租赁合同。</w:t>
            </w:r>
          </w:p>
          <w:p>
            <w:pPr>
              <w:keepNext w:val="0"/>
              <w:keepLines w:val="0"/>
              <w:pageBreakBefore w:val="0"/>
              <w:widowControl w:val="0"/>
              <w:tabs>
                <w:tab w:val="center" w:pos="1411"/>
              </w:tabs>
              <w:kinsoku/>
              <w:wordWrap/>
              <w:overflowPunct/>
              <w:topLinePunct w:val="0"/>
              <w:autoSpaceDE/>
              <w:autoSpaceDN/>
              <w:bidi w:val="0"/>
              <w:adjustRightInd/>
              <w:snapToGrid/>
              <w:spacing w:line="300" w:lineRule="exact"/>
              <w:ind w:firstLine="0" w:firstLineChars="0"/>
              <w:textAlignment w:val="auto"/>
              <w:rPr>
                <w:rFonts w:hint="default" w:eastAsia="宋体" w:cs="Times New Roman"/>
                <w:color w:val="auto"/>
                <w:sz w:val="21"/>
                <w:szCs w:val="21"/>
                <w:highlight w:val="none"/>
                <w:lang w:eastAsia="zh-CN"/>
              </w:rPr>
            </w:pPr>
            <w:r>
              <w:rPr>
                <w:rFonts w:hint="default" w:eastAsia="宋体" w:cs="Times New Roman"/>
                <w:color w:val="auto"/>
                <w:sz w:val="21"/>
                <w:szCs w:val="21"/>
                <w:highlight w:val="none"/>
                <w:lang w:eastAsia="zh-CN"/>
              </w:rPr>
              <w:t>2.评审专家对照标准打分。</w:t>
            </w:r>
          </w:p>
          <w:p>
            <w:pPr>
              <w:keepNext w:val="0"/>
              <w:keepLines w:val="0"/>
              <w:pageBreakBefore w:val="0"/>
              <w:widowControl w:val="0"/>
              <w:tabs>
                <w:tab w:val="center" w:pos="1411"/>
              </w:tabs>
              <w:kinsoku/>
              <w:wordWrap/>
              <w:overflowPunct/>
              <w:topLinePunct w:val="0"/>
              <w:autoSpaceDE/>
              <w:autoSpaceDN/>
              <w:bidi w:val="0"/>
              <w:adjustRightInd/>
              <w:snapToGrid/>
              <w:spacing w:line="300" w:lineRule="exact"/>
              <w:ind w:firstLine="0" w:firstLineChars="0"/>
              <w:textAlignment w:val="auto"/>
              <w:rPr>
                <w:rFonts w:hint="default" w:eastAsia="宋体" w:cs="Times New Roman"/>
                <w:color w:val="auto"/>
                <w:sz w:val="21"/>
                <w:szCs w:val="21"/>
                <w:highlight w:val="none"/>
                <w:lang w:eastAsia="zh-CN"/>
              </w:rPr>
            </w:pPr>
            <w:r>
              <w:rPr>
                <w:rFonts w:hint="eastAsia" w:eastAsia="宋体" w:cs="Times New Roman"/>
                <w:color w:val="auto"/>
                <w:sz w:val="21"/>
                <w:szCs w:val="21"/>
                <w:lang w:val="en-US" w:eastAsia="zh-CN"/>
              </w:rPr>
              <w:t>3.</w:t>
            </w:r>
            <w:r>
              <w:rPr>
                <w:rFonts w:hint="default" w:eastAsia="宋体" w:cs="Times New Roman"/>
                <w:color w:val="auto"/>
                <w:sz w:val="21"/>
                <w:szCs w:val="21"/>
                <w:highlight w:val="none"/>
                <w:lang w:eastAsia="zh-CN"/>
              </w:rPr>
              <w:t>同一平面经营面积</w:t>
            </w:r>
            <w:r>
              <w:rPr>
                <w:rFonts w:hint="default" w:ascii="Times New Roman" w:hAnsi="Times New Roman" w:eastAsia="宋体" w:cs="Times New Roman"/>
                <w:color w:val="auto"/>
                <w:sz w:val="21"/>
                <w:szCs w:val="21"/>
              </w:rPr>
              <w:t>未达到</w:t>
            </w:r>
            <w:r>
              <w:rPr>
                <w:rFonts w:hint="eastAsia" w:eastAsia="宋体" w:cs="Times New Roman"/>
                <w:color w:val="auto"/>
                <w:sz w:val="21"/>
                <w:szCs w:val="21"/>
                <w:lang w:val="en-US" w:eastAsia="zh-CN"/>
              </w:rPr>
              <w:t>100平米</w:t>
            </w:r>
            <w:r>
              <w:rPr>
                <w:rFonts w:hint="default" w:ascii="Times New Roman" w:hAnsi="Times New Roman" w:eastAsia="宋体" w:cs="Times New Roman"/>
                <w:color w:val="auto"/>
                <w:sz w:val="21"/>
                <w:szCs w:val="21"/>
              </w:rPr>
              <w:t>的，取消遴选资格。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0" w:hRule="atLeast"/>
          <w:jc w:val="center"/>
        </w:trPr>
        <w:tc>
          <w:tcPr>
            <w:tcW w:w="1064"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left"/>
              <w:textAlignment w:val="auto"/>
              <w:rPr>
                <w:rFonts w:hint="default" w:ascii="Times New Roman" w:hAnsi="Times New Roman" w:eastAsia="宋体" w:cs="Times New Roman"/>
                <w:color w:val="auto"/>
                <w:sz w:val="21"/>
                <w:szCs w:val="21"/>
              </w:rPr>
            </w:pPr>
          </w:p>
        </w:tc>
        <w:tc>
          <w:tcPr>
            <w:tcW w:w="8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w:t>
            </w:r>
          </w:p>
        </w:tc>
        <w:tc>
          <w:tcPr>
            <w:tcW w:w="11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仓储环境</w:t>
            </w:r>
          </w:p>
        </w:tc>
        <w:tc>
          <w:tcPr>
            <w:tcW w:w="36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tabs>
                <w:tab w:val="center" w:pos="1411"/>
              </w:tabs>
              <w:kinsoku/>
              <w:wordWrap/>
              <w:overflowPunct/>
              <w:topLinePunct w:val="0"/>
              <w:autoSpaceDE/>
              <w:autoSpaceDN/>
              <w:bidi w:val="0"/>
              <w:adjustRightInd/>
              <w:snapToGrid/>
              <w:spacing w:line="300" w:lineRule="exact"/>
              <w:ind w:firstLine="0" w:firstLineChars="0"/>
              <w:textAlignment w:val="auto"/>
              <w:rPr>
                <w:rFonts w:hint="default" w:eastAsia="宋体" w:cs="Times New Roman"/>
                <w:color w:val="auto"/>
                <w:sz w:val="21"/>
                <w:szCs w:val="21"/>
                <w:highlight w:val="none"/>
                <w:lang w:eastAsia="zh-CN"/>
              </w:rPr>
            </w:pPr>
            <w:r>
              <w:rPr>
                <w:rFonts w:hint="default" w:eastAsia="宋体" w:cs="Times New Roman"/>
                <w:color w:val="auto"/>
                <w:sz w:val="21"/>
                <w:szCs w:val="21"/>
                <w:highlight w:val="none"/>
                <w:lang w:eastAsia="zh-CN"/>
              </w:rPr>
              <w:t>申请药店</w:t>
            </w:r>
            <w:r>
              <w:rPr>
                <w:rFonts w:hint="eastAsia" w:eastAsia="宋体" w:cs="Times New Roman"/>
                <w:color w:val="auto"/>
                <w:sz w:val="21"/>
                <w:szCs w:val="21"/>
                <w:highlight w:val="none"/>
                <w:lang w:val="en-US" w:eastAsia="zh-CN"/>
              </w:rPr>
              <w:t>须</w:t>
            </w:r>
            <w:r>
              <w:rPr>
                <w:rFonts w:hint="default" w:eastAsia="宋体" w:cs="Times New Roman"/>
                <w:color w:val="auto"/>
                <w:sz w:val="21"/>
                <w:szCs w:val="21"/>
                <w:highlight w:val="none"/>
                <w:lang w:eastAsia="zh-CN"/>
              </w:rPr>
              <w:t>设有冷链药品专业冷藏</w:t>
            </w:r>
            <w:r>
              <w:rPr>
                <w:rFonts w:hint="eastAsia" w:eastAsia="宋体" w:cs="Times New Roman"/>
                <w:color w:val="auto"/>
                <w:sz w:val="21"/>
                <w:szCs w:val="21"/>
                <w:highlight w:val="none"/>
                <w:lang w:val="en-US" w:eastAsia="zh-CN"/>
              </w:rPr>
              <w:t>设备。设有冷藏</w:t>
            </w:r>
            <w:r>
              <w:rPr>
                <w:rFonts w:hint="default" w:eastAsia="宋体" w:cs="Times New Roman"/>
                <w:color w:val="auto"/>
                <w:sz w:val="21"/>
                <w:szCs w:val="21"/>
                <w:highlight w:val="none"/>
                <w:lang w:eastAsia="zh-CN"/>
              </w:rPr>
              <w:t>柜</w:t>
            </w:r>
            <w:r>
              <w:rPr>
                <w:rFonts w:hint="eastAsia" w:eastAsia="宋体" w:cs="Times New Roman"/>
                <w:color w:val="auto"/>
                <w:sz w:val="21"/>
                <w:szCs w:val="21"/>
                <w:highlight w:val="none"/>
                <w:lang w:val="en-US" w:eastAsia="zh-CN"/>
              </w:rPr>
              <w:t>的</w:t>
            </w:r>
            <w:r>
              <w:rPr>
                <w:rFonts w:hint="default" w:eastAsia="宋体" w:cs="Times New Roman"/>
                <w:color w:val="auto"/>
                <w:sz w:val="21"/>
                <w:szCs w:val="21"/>
                <w:highlight w:val="none"/>
                <w:lang w:eastAsia="zh-CN"/>
              </w:rPr>
              <w:t>，350立升以下的得</w:t>
            </w:r>
            <w:r>
              <w:rPr>
                <w:rFonts w:hint="eastAsia" w:eastAsia="宋体" w:cs="Times New Roman"/>
                <w:color w:val="auto"/>
                <w:sz w:val="21"/>
                <w:szCs w:val="21"/>
                <w:highlight w:val="none"/>
                <w:lang w:val="en-US" w:eastAsia="zh-CN"/>
              </w:rPr>
              <w:t>5</w:t>
            </w:r>
            <w:r>
              <w:rPr>
                <w:rFonts w:hint="default" w:eastAsia="宋体" w:cs="Times New Roman"/>
                <w:color w:val="auto"/>
                <w:sz w:val="21"/>
                <w:szCs w:val="21"/>
                <w:highlight w:val="none"/>
                <w:lang w:eastAsia="zh-CN"/>
              </w:rPr>
              <w:t>分，350立升以上的</w:t>
            </w:r>
            <w:r>
              <w:rPr>
                <w:rFonts w:hint="eastAsia" w:eastAsia="宋体" w:cs="Times New Roman"/>
                <w:color w:val="auto"/>
                <w:sz w:val="21"/>
                <w:szCs w:val="21"/>
                <w:highlight w:val="none"/>
                <w:lang w:val="en-US" w:eastAsia="zh-CN"/>
              </w:rPr>
              <w:t>加1</w:t>
            </w:r>
            <w:r>
              <w:rPr>
                <w:rFonts w:hint="default" w:eastAsia="宋体" w:cs="Times New Roman"/>
                <w:color w:val="auto"/>
                <w:sz w:val="21"/>
                <w:szCs w:val="21"/>
                <w:highlight w:val="none"/>
                <w:lang w:eastAsia="zh-CN"/>
              </w:rPr>
              <w:t>分。设有冷链药品专业冷藏室（库）6立方米以上的</w:t>
            </w:r>
            <w:r>
              <w:rPr>
                <w:rFonts w:hint="eastAsia" w:eastAsia="宋体" w:cs="Times New Roman"/>
                <w:color w:val="auto"/>
                <w:sz w:val="21"/>
                <w:szCs w:val="21"/>
                <w:highlight w:val="none"/>
                <w:lang w:val="en-US" w:eastAsia="zh-CN"/>
              </w:rPr>
              <w:t>加4</w:t>
            </w:r>
            <w:r>
              <w:rPr>
                <w:rFonts w:hint="default" w:eastAsia="宋体" w:cs="Times New Roman"/>
                <w:color w:val="auto"/>
                <w:sz w:val="21"/>
                <w:szCs w:val="21"/>
                <w:highlight w:val="none"/>
                <w:lang w:eastAsia="zh-CN"/>
              </w:rPr>
              <w:t>分</w:t>
            </w:r>
            <w:r>
              <w:rPr>
                <w:rFonts w:hint="eastAsia" w:eastAsia="宋体" w:cs="Times New Roman"/>
                <w:color w:val="auto"/>
                <w:sz w:val="21"/>
                <w:szCs w:val="21"/>
                <w:highlight w:val="none"/>
                <w:lang w:eastAsia="zh-CN"/>
              </w:rPr>
              <w:t>。</w:t>
            </w:r>
            <w:r>
              <w:rPr>
                <w:rFonts w:hint="default" w:eastAsia="宋体" w:cs="Times New Roman"/>
                <w:color w:val="auto"/>
                <w:sz w:val="21"/>
                <w:szCs w:val="21"/>
                <w:highlight w:val="none"/>
                <w:lang w:eastAsia="zh-CN"/>
              </w:rPr>
              <w:t>满分10分。</w:t>
            </w:r>
          </w:p>
        </w:tc>
        <w:tc>
          <w:tcPr>
            <w:tcW w:w="767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tabs>
                <w:tab w:val="center" w:pos="1411"/>
              </w:tabs>
              <w:kinsoku/>
              <w:wordWrap/>
              <w:overflowPunct/>
              <w:topLinePunct w:val="0"/>
              <w:autoSpaceDE/>
              <w:autoSpaceDN/>
              <w:bidi w:val="0"/>
              <w:adjustRightInd/>
              <w:snapToGrid/>
              <w:spacing w:line="300" w:lineRule="exact"/>
              <w:ind w:firstLine="0" w:firstLineChars="0"/>
              <w:textAlignment w:val="auto"/>
              <w:rPr>
                <w:rFonts w:hint="default" w:eastAsia="宋体" w:cs="Times New Roman"/>
                <w:color w:val="auto"/>
                <w:sz w:val="21"/>
                <w:szCs w:val="21"/>
                <w:highlight w:val="none"/>
                <w:lang w:eastAsia="zh-CN"/>
              </w:rPr>
            </w:pPr>
            <w:r>
              <w:rPr>
                <w:rFonts w:hint="default" w:eastAsia="宋体" w:cs="Times New Roman"/>
                <w:color w:val="auto"/>
                <w:sz w:val="21"/>
                <w:szCs w:val="21"/>
                <w:highlight w:val="none"/>
                <w:lang w:eastAsia="zh-CN"/>
              </w:rPr>
              <w:t>1.申请药店提供冷藏室、冷藏柜相关照片和专业冷链认证报告复印件（现场核查时查看原件）。</w:t>
            </w:r>
          </w:p>
          <w:p>
            <w:pPr>
              <w:keepNext w:val="0"/>
              <w:keepLines w:val="0"/>
              <w:pageBreakBefore w:val="0"/>
              <w:widowControl w:val="0"/>
              <w:tabs>
                <w:tab w:val="center" w:pos="1411"/>
              </w:tabs>
              <w:kinsoku/>
              <w:wordWrap/>
              <w:overflowPunct/>
              <w:topLinePunct w:val="0"/>
              <w:autoSpaceDE/>
              <w:autoSpaceDN/>
              <w:bidi w:val="0"/>
              <w:adjustRightInd/>
              <w:snapToGrid/>
              <w:spacing w:line="300" w:lineRule="exact"/>
              <w:ind w:firstLine="0" w:firstLineChars="0"/>
              <w:textAlignment w:val="auto"/>
              <w:rPr>
                <w:rFonts w:hint="default" w:eastAsia="宋体" w:cs="Times New Roman"/>
                <w:color w:val="auto"/>
                <w:sz w:val="21"/>
                <w:szCs w:val="21"/>
                <w:highlight w:val="none"/>
                <w:lang w:eastAsia="zh-CN"/>
              </w:rPr>
            </w:pPr>
            <w:r>
              <w:rPr>
                <w:rFonts w:hint="default" w:eastAsia="宋体" w:cs="Times New Roman"/>
                <w:color w:val="auto"/>
                <w:sz w:val="21"/>
                <w:szCs w:val="21"/>
                <w:highlight w:val="none"/>
                <w:lang w:eastAsia="zh-CN"/>
              </w:rPr>
              <w:t>2.评审专家查看冷藏室、冷藏柜相关照片和专业冷链认证报告复印件，合格的冷藏室、冷藏柜认定标准如下：（1）具有GSP冷链认证资质（CNAS认证，资质证书上有CNAS标志）的第三方机构的专业冷链认证；（2）需要配备专用应急电源，需要有温湿度实时监控设备。</w:t>
            </w:r>
          </w:p>
          <w:p>
            <w:pPr>
              <w:keepNext w:val="0"/>
              <w:keepLines w:val="0"/>
              <w:pageBreakBefore w:val="0"/>
              <w:widowControl w:val="0"/>
              <w:tabs>
                <w:tab w:val="center" w:pos="1411"/>
              </w:tabs>
              <w:kinsoku/>
              <w:wordWrap/>
              <w:overflowPunct/>
              <w:topLinePunct w:val="0"/>
              <w:autoSpaceDE/>
              <w:autoSpaceDN/>
              <w:bidi w:val="0"/>
              <w:adjustRightInd/>
              <w:snapToGrid/>
              <w:spacing w:line="300" w:lineRule="exact"/>
              <w:ind w:firstLine="0" w:firstLineChars="0"/>
              <w:textAlignment w:val="auto"/>
              <w:rPr>
                <w:rFonts w:hint="default" w:eastAsia="宋体" w:cs="Times New Roman"/>
                <w:color w:val="auto"/>
                <w:sz w:val="21"/>
                <w:szCs w:val="21"/>
                <w:highlight w:val="none"/>
                <w:lang w:val="en-US" w:eastAsia="zh-CN"/>
              </w:rPr>
            </w:pPr>
            <w:r>
              <w:rPr>
                <w:rFonts w:hint="default" w:eastAsia="宋体" w:cs="Times New Roman"/>
                <w:color w:val="auto"/>
                <w:sz w:val="21"/>
                <w:szCs w:val="21"/>
                <w:highlight w:val="none"/>
                <w:lang w:eastAsia="zh-CN"/>
              </w:rPr>
              <w:t>3.连锁企业的专业冷藏室（库）可以作为该企业申请药店的</w:t>
            </w:r>
            <w:r>
              <w:rPr>
                <w:rFonts w:hint="eastAsia" w:eastAsia="宋体" w:cs="Times New Roman"/>
                <w:color w:val="auto"/>
                <w:sz w:val="21"/>
                <w:szCs w:val="21"/>
                <w:highlight w:val="none"/>
                <w:lang w:val="en-US" w:eastAsia="zh-CN"/>
              </w:rPr>
              <w:t>加分</w:t>
            </w:r>
            <w:r>
              <w:rPr>
                <w:rFonts w:hint="default" w:eastAsia="宋体" w:cs="Times New Roman"/>
                <w:color w:val="auto"/>
                <w:sz w:val="21"/>
                <w:szCs w:val="21"/>
                <w:highlight w:val="none"/>
                <w:lang w:eastAsia="zh-CN"/>
              </w:rPr>
              <w:t>依据</w:t>
            </w:r>
            <w:r>
              <w:rPr>
                <w:rFonts w:hint="eastAsia" w:eastAsia="宋体" w:cs="Times New Roman"/>
                <w:color w:val="auto"/>
                <w:sz w:val="21"/>
                <w:szCs w:val="21"/>
                <w:highlight w:val="none"/>
                <w:lang w:eastAsia="zh-CN"/>
              </w:rPr>
              <w:t>，</w:t>
            </w:r>
            <w:r>
              <w:rPr>
                <w:rFonts w:hint="eastAsia" w:eastAsia="宋体" w:cs="Times New Roman"/>
                <w:color w:val="auto"/>
                <w:sz w:val="21"/>
                <w:szCs w:val="21"/>
                <w:highlight w:val="none"/>
                <w:lang w:val="en-US" w:eastAsia="zh-CN"/>
              </w:rPr>
              <w:t>但申请药店必须设有店内</w:t>
            </w:r>
            <w:r>
              <w:rPr>
                <w:rFonts w:hint="default" w:eastAsia="宋体" w:cs="Times New Roman"/>
                <w:color w:val="auto"/>
                <w:sz w:val="21"/>
                <w:szCs w:val="21"/>
                <w:highlight w:val="none"/>
                <w:lang w:eastAsia="zh-CN"/>
              </w:rPr>
              <w:t>冷链药品专业冷藏柜，</w:t>
            </w:r>
            <w:r>
              <w:rPr>
                <w:rFonts w:hint="eastAsia" w:eastAsia="宋体" w:cs="Times New Roman"/>
                <w:color w:val="auto"/>
                <w:sz w:val="21"/>
                <w:szCs w:val="21"/>
                <w:highlight w:val="none"/>
                <w:lang w:val="en-US" w:eastAsia="zh-CN"/>
              </w:rPr>
              <w:t>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jc w:val="center"/>
        </w:trPr>
        <w:tc>
          <w:tcPr>
            <w:tcW w:w="1064"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left"/>
              <w:textAlignment w:val="auto"/>
              <w:rPr>
                <w:rFonts w:hint="default" w:ascii="Times New Roman" w:hAnsi="Times New Roman" w:eastAsia="宋体" w:cs="Times New Roman"/>
                <w:color w:val="auto"/>
                <w:sz w:val="21"/>
                <w:szCs w:val="21"/>
              </w:rPr>
            </w:pPr>
          </w:p>
        </w:tc>
        <w:tc>
          <w:tcPr>
            <w:tcW w:w="8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lang w:eastAsia="zh-CN"/>
              </w:rPr>
            </w:pPr>
            <w:r>
              <w:rPr>
                <w:rFonts w:hint="eastAsia" w:eastAsia="宋体" w:cs="Times New Roman"/>
                <w:color w:val="auto"/>
                <w:sz w:val="21"/>
                <w:szCs w:val="21"/>
                <w:lang w:val="en-US" w:eastAsia="zh-CN"/>
              </w:rPr>
              <w:t>4</w:t>
            </w:r>
          </w:p>
        </w:tc>
        <w:tc>
          <w:tcPr>
            <w:tcW w:w="11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服务环境</w:t>
            </w:r>
          </w:p>
        </w:tc>
        <w:tc>
          <w:tcPr>
            <w:tcW w:w="36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申请药店设有参保患者专用咨询台的得</w:t>
            </w:r>
            <w:r>
              <w:rPr>
                <w:rFonts w:hint="eastAsia" w:eastAsia="宋体" w:cs="Times New Roman"/>
                <w:color w:val="auto"/>
                <w:sz w:val="21"/>
                <w:szCs w:val="21"/>
                <w:lang w:val="en-US" w:eastAsia="zh-CN"/>
              </w:rPr>
              <w:t>2</w:t>
            </w:r>
            <w:r>
              <w:rPr>
                <w:rFonts w:hint="default" w:ascii="Times New Roman" w:hAnsi="Times New Roman" w:eastAsia="宋体" w:cs="Times New Roman"/>
                <w:color w:val="auto"/>
                <w:sz w:val="21"/>
                <w:szCs w:val="21"/>
              </w:rPr>
              <w:t>分，设有参保患者专用休息接待区，得2分。</w:t>
            </w:r>
          </w:p>
        </w:tc>
        <w:tc>
          <w:tcPr>
            <w:tcW w:w="767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1.申请药店提供相关平面图和相关区域照片。</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2.评审专家对照标准打分。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7" w:hRule="atLeast"/>
          <w:jc w:val="center"/>
        </w:trPr>
        <w:tc>
          <w:tcPr>
            <w:tcW w:w="1064" w:type="dxa"/>
            <w:vMerge w:val="restart"/>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b/>
                <w:color w:val="auto"/>
                <w:sz w:val="21"/>
                <w:szCs w:val="21"/>
                <w:lang w:val="en-US" w:eastAsia="zh-CN"/>
              </w:rPr>
            </w:pPr>
            <w:r>
              <w:rPr>
                <w:rFonts w:hint="default" w:ascii="Times New Roman" w:hAnsi="Times New Roman" w:eastAsia="宋体" w:cs="Times New Roman"/>
                <w:b/>
                <w:color w:val="auto"/>
                <w:sz w:val="21"/>
                <w:szCs w:val="21"/>
                <w:lang w:val="en-US" w:eastAsia="zh-CN"/>
              </w:rPr>
              <w:t>二、</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管理能力</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（40分）</w:t>
            </w:r>
          </w:p>
        </w:tc>
        <w:tc>
          <w:tcPr>
            <w:tcW w:w="8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lang w:eastAsia="zh-CN"/>
              </w:rPr>
            </w:pPr>
            <w:r>
              <w:rPr>
                <w:rFonts w:hint="eastAsia" w:eastAsia="宋体" w:cs="Times New Roman"/>
                <w:color w:val="auto"/>
                <w:sz w:val="21"/>
                <w:szCs w:val="21"/>
                <w:lang w:val="en-US" w:eastAsia="zh-CN"/>
              </w:rPr>
              <w:t>2</w:t>
            </w:r>
          </w:p>
        </w:tc>
        <w:tc>
          <w:tcPr>
            <w:tcW w:w="11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服务资质</w:t>
            </w:r>
          </w:p>
        </w:tc>
        <w:tc>
          <w:tcPr>
            <w:tcW w:w="36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b/>
                <w:color w:val="auto"/>
                <w:sz w:val="21"/>
                <w:szCs w:val="21"/>
              </w:rPr>
            </w:pPr>
            <w:r>
              <w:rPr>
                <w:rFonts w:hint="default" w:ascii="Times New Roman" w:hAnsi="Times New Roman" w:eastAsia="宋体" w:cs="Times New Roman"/>
                <w:color w:val="auto"/>
                <w:sz w:val="21"/>
                <w:szCs w:val="21"/>
              </w:rPr>
              <w:t>申请药店获得医保定点资格1年以内的得</w:t>
            </w: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分，</w:t>
            </w:r>
            <w:r>
              <w:rPr>
                <w:rFonts w:hint="default" w:ascii="Times New Roman" w:hAnsi="Times New Roman" w:eastAsia="宋体" w:cs="Times New Roman"/>
                <w:color w:val="auto"/>
                <w:sz w:val="21"/>
                <w:szCs w:val="21"/>
                <w:lang w:val="en-US" w:eastAsia="zh-CN"/>
              </w:rPr>
              <w:t>取得</w:t>
            </w:r>
            <w:r>
              <w:rPr>
                <w:rFonts w:hint="default" w:ascii="Times New Roman" w:hAnsi="Times New Roman" w:eastAsia="宋体" w:cs="Times New Roman"/>
                <w:color w:val="auto"/>
                <w:sz w:val="21"/>
                <w:szCs w:val="21"/>
              </w:rPr>
              <w:t>定点</w:t>
            </w:r>
            <w:r>
              <w:rPr>
                <w:rFonts w:hint="default" w:ascii="Times New Roman" w:hAnsi="Times New Roman" w:eastAsia="宋体" w:cs="Times New Roman"/>
                <w:color w:val="auto"/>
                <w:sz w:val="21"/>
                <w:szCs w:val="21"/>
                <w:lang w:val="en-US" w:eastAsia="zh-CN"/>
              </w:rPr>
              <w:t>资格1</w:t>
            </w:r>
            <w:r>
              <w:rPr>
                <w:rFonts w:hint="default" w:ascii="Times New Roman" w:hAnsi="Times New Roman" w:eastAsia="宋体" w:cs="Times New Roman"/>
                <w:color w:val="auto"/>
                <w:sz w:val="21"/>
                <w:szCs w:val="21"/>
              </w:rPr>
              <w:t>年及以上的</w:t>
            </w:r>
            <w:r>
              <w:rPr>
                <w:rFonts w:hint="default" w:ascii="Times New Roman" w:hAnsi="Times New Roman" w:eastAsia="宋体" w:cs="Times New Roman"/>
                <w:color w:val="auto"/>
                <w:sz w:val="21"/>
                <w:szCs w:val="21"/>
                <w:lang w:val="en-US" w:eastAsia="zh-CN"/>
              </w:rPr>
              <w:t>再加1</w:t>
            </w:r>
            <w:r>
              <w:rPr>
                <w:rFonts w:hint="default" w:ascii="Times New Roman" w:hAnsi="Times New Roman" w:eastAsia="宋体" w:cs="Times New Roman"/>
                <w:color w:val="auto"/>
                <w:sz w:val="21"/>
                <w:szCs w:val="21"/>
              </w:rPr>
              <w:t>分。满分</w:t>
            </w:r>
            <w:r>
              <w:rPr>
                <w:rFonts w:hint="eastAsia" w:eastAsia="宋体" w:cs="Times New Roman"/>
                <w:color w:val="auto"/>
                <w:sz w:val="21"/>
                <w:szCs w:val="21"/>
                <w:lang w:val="en-US" w:eastAsia="zh-CN"/>
              </w:rPr>
              <w:t>2</w:t>
            </w:r>
            <w:r>
              <w:rPr>
                <w:rFonts w:hint="default" w:ascii="Times New Roman" w:hAnsi="Times New Roman" w:eastAsia="宋体" w:cs="Times New Roman"/>
                <w:color w:val="auto"/>
                <w:sz w:val="21"/>
                <w:szCs w:val="21"/>
              </w:rPr>
              <w:t>分。</w:t>
            </w:r>
          </w:p>
        </w:tc>
        <w:tc>
          <w:tcPr>
            <w:tcW w:w="767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1.申请药店提供医保服务协议、连锁经营相关文书复印件。</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2.评审专家对照打分。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5" w:hRule="atLeast"/>
          <w:jc w:val="center"/>
        </w:trPr>
        <w:tc>
          <w:tcPr>
            <w:tcW w:w="1064"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b/>
                <w:color w:val="auto"/>
                <w:sz w:val="21"/>
                <w:szCs w:val="21"/>
              </w:rPr>
            </w:pPr>
          </w:p>
        </w:tc>
        <w:tc>
          <w:tcPr>
            <w:tcW w:w="8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7</w:t>
            </w:r>
          </w:p>
        </w:tc>
        <w:tc>
          <w:tcPr>
            <w:tcW w:w="11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规章制度</w:t>
            </w:r>
          </w:p>
        </w:tc>
        <w:tc>
          <w:tcPr>
            <w:tcW w:w="36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申请药店有针对</w:t>
            </w:r>
            <w:r>
              <w:rPr>
                <w:rFonts w:hint="default" w:ascii="Times New Roman" w:hAnsi="Times New Roman" w:eastAsia="宋体" w:cs="Times New Roman"/>
                <w:color w:val="auto"/>
                <w:sz w:val="21"/>
                <w:szCs w:val="21"/>
                <w:lang w:eastAsia="zh-CN"/>
              </w:rPr>
              <w:t>国家医保谈判药品</w:t>
            </w:r>
            <w:r>
              <w:rPr>
                <w:rFonts w:hint="default" w:ascii="Times New Roman" w:hAnsi="Times New Roman" w:eastAsia="宋体" w:cs="Times New Roman"/>
                <w:color w:val="auto"/>
                <w:sz w:val="21"/>
                <w:szCs w:val="21"/>
              </w:rPr>
              <w:t>零售管理和服务相关岗位设置、具备完善的管理服务制度的得</w:t>
            </w:r>
            <w:r>
              <w:rPr>
                <w:rFonts w:hint="default" w:ascii="Times New Roman" w:hAnsi="Times New Roman" w:eastAsia="宋体" w:cs="Times New Roman"/>
                <w:color w:val="auto"/>
                <w:sz w:val="21"/>
                <w:szCs w:val="21"/>
                <w:lang w:val="en-US" w:eastAsia="zh-CN"/>
              </w:rPr>
              <w:t>7</w:t>
            </w:r>
            <w:r>
              <w:rPr>
                <w:rFonts w:hint="default" w:ascii="Times New Roman" w:hAnsi="Times New Roman" w:eastAsia="宋体" w:cs="Times New Roman"/>
                <w:color w:val="auto"/>
                <w:sz w:val="21"/>
                <w:szCs w:val="21"/>
              </w:rPr>
              <w:t>分。</w:t>
            </w:r>
          </w:p>
        </w:tc>
        <w:tc>
          <w:tcPr>
            <w:tcW w:w="767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1.申请药店提供相关岗位清单、岗位职责及其他规章制度汇编等复印件（连锁企业的申请药店，连锁企业的相关规章制度可作为申请药店申报材料）。</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2.评审专家对照检查，对“进销存管理”“岗位设置与职责”“配送管理制度”“冷链储存应急预案”“冷链药品配送操作规程”“患者服务流程及制度”“慈善赠药服务管理办法”等办法，每少一项扣1分。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9" w:hRule="atLeast"/>
          <w:jc w:val="center"/>
        </w:trPr>
        <w:tc>
          <w:tcPr>
            <w:tcW w:w="1064"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left"/>
              <w:textAlignment w:val="auto"/>
              <w:rPr>
                <w:rFonts w:hint="default" w:ascii="Times New Roman" w:hAnsi="Times New Roman" w:eastAsia="宋体" w:cs="Times New Roman"/>
                <w:b/>
                <w:color w:val="auto"/>
                <w:sz w:val="21"/>
                <w:szCs w:val="21"/>
              </w:rPr>
            </w:pPr>
          </w:p>
        </w:tc>
        <w:tc>
          <w:tcPr>
            <w:tcW w:w="8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5</w:t>
            </w:r>
          </w:p>
        </w:tc>
        <w:tc>
          <w:tcPr>
            <w:tcW w:w="11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违规情况</w:t>
            </w:r>
          </w:p>
        </w:tc>
        <w:tc>
          <w:tcPr>
            <w:tcW w:w="36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20</w:t>
            </w:r>
            <w:r>
              <w:rPr>
                <w:rFonts w:hint="default" w:ascii="Times New Roman" w:hAnsi="Times New Roman" w:eastAsia="宋体" w:cs="Times New Roman"/>
                <w:color w:val="auto"/>
                <w:sz w:val="21"/>
                <w:szCs w:val="21"/>
                <w:lang w:val="en-US" w:eastAsia="zh-CN"/>
              </w:rPr>
              <w:t>20</w:t>
            </w:r>
            <w:r>
              <w:rPr>
                <w:rFonts w:hint="default" w:ascii="Times New Roman" w:hAnsi="Times New Roman" w:eastAsia="宋体" w:cs="Times New Roman"/>
                <w:color w:val="auto"/>
                <w:sz w:val="21"/>
                <w:szCs w:val="21"/>
              </w:rPr>
              <w:t>年</w:t>
            </w:r>
            <w:r>
              <w:rPr>
                <w:rFonts w:hint="eastAsia" w:eastAsia="宋体" w:cs="Times New Roman"/>
                <w:color w:val="auto"/>
                <w:sz w:val="21"/>
                <w:szCs w:val="21"/>
                <w:lang w:val="en-US" w:eastAsia="zh-CN"/>
              </w:rPr>
              <w:t>8</w:t>
            </w:r>
            <w:r>
              <w:rPr>
                <w:rFonts w:hint="default" w:ascii="Times New Roman" w:hAnsi="Times New Roman" w:eastAsia="宋体" w:cs="Times New Roman"/>
                <w:color w:val="auto"/>
                <w:sz w:val="21"/>
                <w:szCs w:val="21"/>
              </w:rPr>
              <w:t>月</w:t>
            </w:r>
            <w:r>
              <w:rPr>
                <w:rFonts w:hint="eastAsia" w:eastAsia="宋体" w:cs="Times New Roman"/>
                <w:color w:val="auto"/>
                <w:sz w:val="21"/>
                <w:szCs w:val="21"/>
                <w:lang w:val="en-US" w:eastAsia="zh-CN"/>
              </w:rPr>
              <w:t>1</w:t>
            </w:r>
            <w:r>
              <w:rPr>
                <w:rFonts w:hint="default" w:ascii="Times New Roman" w:hAnsi="Times New Roman" w:eastAsia="宋体" w:cs="Times New Roman"/>
                <w:color w:val="auto"/>
                <w:sz w:val="21"/>
                <w:szCs w:val="21"/>
              </w:rPr>
              <w:t>日以来，无医保违规记录，无药监等其他行政部门处罚记录的得</w:t>
            </w:r>
            <w:r>
              <w:rPr>
                <w:rFonts w:hint="default" w:ascii="Times New Roman" w:hAnsi="Times New Roman" w:eastAsia="宋体" w:cs="Times New Roman"/>
                <w:color w:val="auto"/>
                <w:sz w:val="21"/>
                <w:szCs w:val="21"/>
                <w:lang w:val="en-US" w:eastAsia="zh-CN"/>
              </w:rPr>
              <w:t>5</w:t>
            </w:r>
            <w:r>
              <w:rPr>
                <w:rFonts w:hint="default" w:ascii="Times New Roman" w:hAnsi="Times New Roman" w:eastAsia="宋体" w:cs="Times New Roman"/>
                <w:color w:val="auto"/>
                <w:sz w:val="21"/>
                <w:szCs w:val="21"/>
              </w:rPr>
              <w:t>分。</w:t>
            </w:r>
          </w:p>
        </w:tc>
        <w:tc>
          <w:tcPr>
            <w:tcW w:w="767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1.申请药店提供加盖公章的无违规、无受到行政处罚的承诺书。</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2.查询医保经办机构对申请药店的违规处理记录。</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3.评审专家按承诺书和查询结果评分，申请药店</w:t>
            </w:r>
            <w:r>
              <w:rPr>
                <w:rFonts w:hint="default" w:ascii="Times New Roman" w:hAnsi="Times New Roman" w:eastAsia="宋体" w:cs="Times New Roman"/>
                <w:color w:val="auto"/>
                <w:sz w:val="21"/>
                <w:szCs w:val="21"/>
                <w:lang w:val="en-US" w:eastAsia="zh-CN"/>
              </w:rPr>
              <w:t>有医保违规纪录的，取消遴选资格。同时</w:t>
            </w:r>
            <w:r>
              <w:rPr>
                <w:rFonts w:hint="default" w:ascii="Times New Roman" w:hAnsi="Times New Roman" w:eastAsia="宋体" w:cs="Times New Roman"/>
                <w:color w:val="auto"/>
                <w:sz w:val="21"/>
                <w:szCs w:val="21"/>
              </w:rPr>
              <w:t>，药品连锁企业的其他门店有医保违规或行政处罚记录的，每发生一例扣0.5分，</w:t>
            </w:r>
            <w:r>
              <w:rPr>
                <w:rFonts w:hint="default" w:ascii="Times New Roman" w:hAnsi="Times New Roman" w:eastAsia="宋体" w:cs="Times New Roman"/>
                <w:color w:val="auto"/>
                <w:sz w:val="21"/>
                <w:szCs w:val="21"/>
                <w:lang w:val="en-US" w:eastAsia="zh-CN"/>
              </w:rPr>
              <w:t>5</w:t>
            </w:r>
            <w:r>
              <w:rPr>
                <w:rFonts w:hint="default" w:ascii="Times New Roman" w:hAnsi="Times New Roman" w:eastAsia="宋体" w:cs="Times New Roman"/>
                <w:color w:val="auto"/>
                <w:sz w:val="21"/>
                <w:szCs w:val="21"/>
              </w:rPr>
              <w:t>分</w:t>
            </w:r>
            <w:r>
              <w:rPr>
                <w:rFonts w:hint="default" w:ascii="Times New Roman" w:hAnsi="Times New Roman" w:eastAsia="宋体" w:cs="Times New Roman"/>
                <w:color w:val="auto"/>
                <w:sz w:val="21"/>
                <w:szCs w:val="21"/>
                <w:lang w:val="en-US" w:eastAsia="zh-CN"/>
              </w:rPr>
              <w:t>扣完</w:t>
            </w:r>
            <w:r>
              <w:rPr>
                <w:rFonts w:hint="default" w:ascii="Times New Roman" w:hAnsi="Times New Roman" w:eastAsia="宋体" w:cs="Times New Roman"/>
                <w:color w:val="auto"/>
                <w:sz w:val="21"/>
                <w:szCs w:val="21"/>
              </w:rPr>
              <w:t>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2" w:hRule="atLeast"/>
          <w:jc w:val="center"/>
        </w:trPr>
        <w:tc>
          <w:tcPr>
            <w:tcW w:w="1064"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left"/>
              <w:textAlignment w:val="auto"/>
              <w:rPr>
                <w:rFonts w:hint="default" w:ascii="Times New Roman" w:hAnsi="Times New Roman" w:eastAsia="宋体" w:cs="Times New Roman"/>
                <w:b/>
                <w:color w:val="auto"/>
                <w:sz w:val="21"/>
                <w:szCs w:val="21"/>
              </w:rPr>
            </w:pPr>
          </w:p>
        </w:tc>
        <w:tc>
          <w:tcPr>
            <w:tcW w:w="8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5</w:t>
            </w:r>
          </w:p>
        </w:tc>
        <w:tc>
          <w:tcPr>
            <w:tcW w:w="11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台账管理</w:t>
            </w:r>
          </w:p>
        </w:tc>
        <w:tc>
          <w:tcPr>
            <w:tcW w:w="36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申请药店为参保人员购药单独建账，且账账相符的得</w:t>
            </w:r>
            <w:r>
              <w:rPr>
                <w:rFonts w:hint="default" w:ascii="Times New Roman" w:hAnsi="Times New Roman" w:eastAsia="宋体" w:cs="Times New Roman"/>
                <w:color w:val="auto"/>
                <w:sz w:val="21"/>
                <w:szCs w:val="21"/>
                <w:lang w:val="en-US" w:eastAsia="zh-CN"/>
              </w:rPr>
              <w:t>2</w:t>
            </w:r>
            <w:r>
              <w:rPr>
                <w:rFonts w:hint="default" w:ascii="Times New Roman" w:hAnsi="Times New Roman" w:eastAsia="宋体" w:cs="Times New Roman"/>
                <w:color w:val="auto"/>
                <w:sz w:val="21"/>
                <w:szCs w:val="21"/>
              </w:rPr>
              <w:t>分。</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处方分类装订，存档1年的得</w:t>
            </w:r>
            <w:r>
              <w:rPr>
                <w:rFonts w:hint="default" w:ascii="Times New Roman" w:hAnsi="Times New Roman" w:eastAsia="宋体" w:cs="Times New Roman"/>
                <w:color w:val="auto"/>
                <w:sz w:val="21"/>
                <w:szCs w:val="21"/>
                <w:lang w:val="en-US" w:eastAsia="zh-CN"/>
              </w:rPr>
              <w:t>2</w:t>
            </w:r>
            <w:r>
              <w:rPr>
                <w:rFonts w:hint="default" w:ascii="Times New Roman" w:hAnsi="Times New Roman" w:eastAsia="宋体" w:cs="Times New Roman"/>
                <w:color w:val="auto"/>
                <w:sz w:val="21"/>
                <w:szCs w:val="21"/>
              </w:rPr>
              <w:t>分，存档</w:t>
            </w: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年</w:t>
            </w:r>
            <w:r>
              <w:rPr>
                <w:rFonts w:hint="default" w:ascii="Times New Roman" w:hAnsi="Times New Roman" w:eastAsia="宋体" w:cs="Times New Roman"/>
                <w:color w:val="auto"/>
                <w:sz w:val="21"/>
                <w:szCs w:val="21"/>
                <w:lang w:val="en-US" w:eastAsia="zh-CN"/>
              </w:rPr>
              <w:t>以上</w:t>
            </w:r>
            <w:r>
              <w:rPr>
                <w:rFonts w:hint="default" w:ascii="Times New Roman" w:hAnsi="Times New Roman" w:eastAsia="宋体" w:cs="Times New Roman"/>
                <w:color w:val="auto"/>
                <w:sz w:val="21"/>
                <w:szCs w:val="21"/>
              </w:rPr>
              <w:t>的</w:t>
            </w:r>
            <w:r>
              <w:rPr>
                <w:rFonts w:hint="default" w:ascii="Times New Roman" w:hAnsi="Times New Roman" w:eastAsia="宋体" w:cs="Times New Roman"/>
                <w:color w:val="auto"/>
                <w:sz w:val="21"/>
                <w:szCs w:val="21"/>
                <w:lang w:val="en-US" w:eastAsia="zh-CN"/>
              </w:rPr>
              <w:t>加1</w:t>
            </w:r>
            <w:r>
              <w:rPr>
                <w:rFonts w:hint="default" w:ascii="Times New Roman" w:hAnsi="Times New Roman" w:eastAsia="宋体" w:cs="Times New Roman"/>
                <w:color w:val="auto"/>
                <w:sz w:val="21"/>
                <w:szCs w:val="21"/>
              </w:rPr>
              <w:t>分。</w:t>
            </w:r>
            <w:r>
              <w:rPr>
                <w:rFonts w:hint="default" w:eastAsia="宋体" w:cs="Times New Roman"/>
                <w:color w:val="auto"/>
                <w:sz w:val="21"/>
                <w:szCs w:val="21"/>
                <w:highlight w:val="none"/>
                <w:lang w:eastAsia="zh-CN"/>
              </w:rPr>
              <w:t>满分</w:t>
            </w:r>
            <w:r>
              <w:rPr>
                <w:rFonts w:hint="eastAsia" w:eastAsia="宋体" w:cs="Times New Roman"/>
                <w:color w:val="auto"/>
                <w:sz w:val="21"/>
                <w:szCs w:val="21"/>
                <w:highlight w:val="none"/>
                <w:lang w:val="en-US" w:eastAsia="zh-CN"/>
              </w:rPr>
              <w:t>5</w:t>
            </w:r>
            <w:r>
              <w:rPr>
                <w:rFonts w:hint="default" w:eastAsia="宋体" w:cs="Times New Roman"/>
                <w:color w:val="auto"/>
                <w:sz w:val="21"/>
                <w:szCs w:val="21"/>
                <w:highlight w:val="none"/>
                <w:lang w:eastAsia="zh-CN"/>
              </w:rPr>
              <w:t>分。</w:t>
            </w:r>
          </w:p>
        </w:tc>
        <w:tc>
          <w:tcPr>
            <w:tcW w:w="767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1.申请药店提供经营谈判药以来的谈判药购销发票、销售台账和处方册复印件。</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2.评审专家对照检查并打分。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5" w:hRule="atLeast"/>
          <w:jc w:val="center"/>
        </w:trPr>
        <w:tc>
          <w:tcPr>
            <w:tcW w:w="1064"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left"/>
              <w:textAlignment w:val="auto"/>
              <w:rPr>
                <w:rFonts w:hint="default" w:ascii="Times New Roman" w:hAnsi="Times New Roman" w:eastAsia="宋体" w:cs="Times New Roman"/>
                <w:b/>
                <w:color w:val="auto"/>
                <w:sz w:val="21"/>
                <w:szCs w:val="21"/>
              </w:rPr>
            </w:pPr>
          </w:p>
        </w:tc>
        <w:tc>
          <w:tcPr>
            <w:tcW w:w="8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eastAsia="宋体" w:cs="Times New Roman"/>
                <w:color w:val="auto"/>
                <w:sz w:val="21"/>
                <w:szCs w:val="21"/>
                <w:lang w:val="en-US" w:eastAsia="zh-CN"/>
              </w:rPr>
              <w:t>6</w:t>
            </w:r>
          </w:p>
        </w:tc>
        <w:tc>
          <w:tcPr>
            <w:tcW w:w="11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管理方案</w:t>
            </w:r>
          </w:p>
        </w:tc>
        <w:tc>
          <w:tcPr>
            <w:tcW w:w="36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综合介绍与谈判药销售管理、服务参保患者紧密相关的内容。评委根据管理方案的完整、优化合理程度综分评分，较好得</w:t>
            </w:r>
            <w:r>
              <w:rPr>
                <w:rFonts w:hint="eastAsia" w:eastAsia="宋体" w:cs="Times New Roman"/>
                <w:color w:val="auto"/>
                <w:sz w:val="21"/>
                <w:szCs w:val="21"/>
                <w:lang w:val="en-US" w:eastAsia="zh-CN"/>
              </w:rPr>
              <w:t>5-6</w:t>
            </w:r>
            <w:r>
              <w:rPr>
                <w:rFonts w:hint="default" w:ascii="Times New Roman" w:hAnsi="Times New Roman" w:eastAsia="宋体" w:cs="Times New Roman"/>
                <w:color w:val="auto"/>
                <w:sz w:val="21"/>
                <w:szCs w:val="21"/>
              </w:rPr>
              <w:t>分，一般得</w:t>
            </w:r>
            <w:r>
              <w:rPr>
                <w:rFonts w:hint="eastAsia" w:eastAsia="宋体" w:cs="Times New Roman"/>
                <w:color w:val="auto"/>
                <w:sz w:val="21"/>
                <w:szCs w:val="21"/>
                <w:lang w:val="en-US" w:eastAsia="zh-CN"/>
              </w:rPr>
              <w:t>3-4</w:t>
            </w:r>
            <w:r>
              <w:rPr>
                <w:rFonts w:hint="default" w:ascii="Times New Roman" w:hAnsi="Times New Roman" w:eastAsia="宋体" w:cs="Times New Roman"/>
                <w:color w:val="auto"/>
                <w:sz w:val="21"/>
                <w:szCs w:val="21"/>
              </w:rPr>
              <w:t>分，较差得1</w:t>
            </w:r>
            <w:r>
              <w:rPr>
                <w:rFonts w:hint="eastAsia" w:eastAsia="宋体" w:cs="Times New Roman"/>
                <w:color w:val="auto"/>
                <w:sz w:val="21"/>
                <w:szCs w:val="21"/>
                <w:lang w:val="en-US" w:eastAsia="zh-CN"/>
              </w:rPr>
              <w:t>-2</w:t>
            </w:r>
            <w:r>
              <w:rPr>
                <w:rFonts w:hint="default" w:ascii="Times New Roman" w:hAnsi="Times New Roman" w:eastAsia="宋体" w:cs="Times New Roman"/>
                <w:color w:val="auto"/>
                <w:sz w:val="21"/>
                <w:szCs w:val="21"/>
              </w:rPr>
              <w:t>分，没有不得分。</w:t>
            </w:r>
          </w:p>
        </w:tc>
        <w:tc>
          <w:tcPr>
            <w:tcW w:w="767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1.申请药店提供谈判药销售服务管理方案。</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2.评审专家对照打分。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0" w:hRule="atLeast"/>
          <w:jc w:val="center"/>
        </w:trPr>
        <w:tc>
          <w:tcPr>
            <w:tcW w:w="1064" w:type="dxa"/>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b/>
                <w:color w:val="auto"/>
                <w:sz w:val="21"/>
                <w:szCs w:val="21"/>
                <w:lang w:val="en-US" w:eastAsia="zh-CN"/>
              </w:rPr>
            </w:pPr>
            <w:r>
              <w:rPr>
                <w:rFonts w:hint="default" w:ascii="Times New Roman" w:hAnsi="Times New Roman" w:eastAsia="宋体" w:cs="Times New Roman"/>
                <w:b/>
                <w:color w:val="auto"/>
                <w:sz w:val="21"/>
                <w:szCs w:val="21"/>
                <w:lang w:val="en-US" w:eastAsia="zh-CN"/>
              </w:rPr>
              <w:t>二、</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管理能力</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left"/>
              <w:textAlignment w:val="auto"/>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（40分）</w:t>
            </w:r>
          </w:p>
        </w:tc>
        <w:tc>
          <w:tcPr>
            <w:tcW w:w="8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15</w:t>
            </w:r>
          </w:p>
        </w:tc>
        <w:tc>
          <w:tcPr>
            <w:tcW w:w="11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信息化</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管理</w:t>
            </w:r>
          </w:p>
        </w:tc>
        <w:tc>
          <w:tcPr>
            <w:tcW w:w="36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申请药店</w:t>
            </w:r>
            <w:r>
              <w:rPr>
                <w:rFonts w:hint="default" w:ascii="Times New Roman" w:hAnsi="Times New Roman" w:eastAsia="宋体" w:cs="Times New Roman"/>
                <w:color w:val="auto"/>
                <w:sz w:val="21"/>
                <w:szCs w:val="21"/>
                <w:lang w:val="en-US" w:eastAsia="zh-CN"/>
              </w:rPr>
              <w:t>必须</w:t>
            </w:r>
            <w:r>
              <w:rPr>
                <w:rFonts w:hint="default" w:ascii="Times New Roman" w:hAnsi="Times New Roman" w:eastAsia="宋体" w:cs="Times New Roman"/>
                <w:color w:val="auto"/>
                <w:sz w:val="21"/>
                <w:szCs w:val="21"/>
              </w:rPr>
              <w:t>具备符合医保协议管理要求的信息系统技术和接口标准，实现与医保信息系统有效对接</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得</w:t>
            </w:r>
            <w:r>
              <w:rPr>
                <w:rFonts w:hint="eastAsia" w:eastAsia="宋体" w:cs="Times New Roman"/>
                <w:color w:val="auto"/>
                <w:sz w:val="21"/>
                <w:szCs w:val="21"/>
                <w:lang w:val="en-US" w:eastAsia="zh-CN"/>
              </w:rPr>
              <w:t>5</w:t>
            </w:r>
            <w:r>
              <w:rPr>
                <w:rFonts w:hint="default" w:ascii="Times New Roman" w:hAnsi="Times New Roman" w:eastAsia="宋体" w:cs="Times New Roman"/>
                <w:color w:val="auto"/>
                <w:sz w:val="21"/>
                <w:szCs w:val="21"/>
                <w:lang w:val="en-US" w:eastAsia="zh-CN"/>
              </w:rPr>
              <w:t>分。</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申请药店</w:t>
            </w:r>
            <w:r>
              <w:rPr>
                <w:rFonts w:hint="default" w:ascii="Times New Roman" w:hAnsi="Times New Roman" w:eastAsia="宋体" w:cs="Times New Roman"/>
                <w:color w:val="auto"/>
                <w:sz w:val="21"/>
                <w:szCs w:val="21"/>
                <w:lang w:val="en-US" w:eastAsia="zh-CN"/>
              </w:rPr>
              <w:t>建立完善的</w:t>
            </w:r>
            <w:r>
              <w:rPr>
                <w:rFonts w:hint="default" w:ascii="Times New Roman" w:hAnsi="Times New Roman" w:eastAsia="宋体" w:cs="Times New Roman"/>
                <w:color w:val="auto"/>
                <w:sz w:val="21"/>
                <w:szCs w:val="21"/>
              </w:rPr>
              <w:t>药房至患者侧配送管理及冷链全程实时监控系统得</w:t>
            </w:r>
            <w:r>
              <w:rPr>
                <w:rFonts w:hint="eastAsia" w:eastAsia="宋体" w:cs="Times New Roman"/>
                <w:color w:val="auto"/>
                <w:sz w:val="21"/>
                <w:szCs w:val="21"/>
                <w:lang w:val="en-US" w:eastAsia="zh-CN"/>
              </w:rPr>
              <w:t>5</w:t>
            </w:r>
            <w:r>
              <w:rPr>
                <w:rFonts w:hint="default" w:ascii="Times New Roman" w:hAnsi="Times New Roman" w:eastAsia="宋体" w:cs="Times New Roman"/>
                <w:color w:val="auto"/>
                <w:sz w:val="21"/>
                <w:szCs w:val="21"/>
              </w:rPr>
              <w:t>分</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不完善的酌情扣分</w:t>
            </w:r>
            <w:r>
              <w:rPr>
                <w:rFonts w:hint="default" w:ascii="Times New Roman" w:hAnsi="Times New Roman" w:eastAsia="宋体" w:cs="Times New Roman"/>
                <w:color w:val="auto"/>
                <w:sz w:val="21"/>
                <w:szCs w:val="21"/>
              </w:rPr>
              <w:t>；</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申请药店</w:t>
            </w:r>
            <w:r>
              <w:rPr>
                <w:rFonts w:hint="default" w:ascii="Times New Roman" w:hAnsi="Times New Roman" w:eastAsia="宋体" w:cs="Times New Roman"/>
                <w:color w:val="auto"/>
                <w:sz w:val="21"/>
                <w:szCs w:val="21"/>
                <w:lang w:val="en-US" w:eastAsia="zh-CN"/>
              </w:rPr>
              <w:t>能</w:t>
            </w:r>
            <w:r>
              <w:rPr>
                <w:rFonts w:hint="default" w:ascii="Times New Roman" w:hAnsi="Times New Roman" w:eastAsia="宋体" w:cs="Times New Roman"/>
                <w:color w:val="auto"/>
                <w:sz w:val="21"/>
                <w:szCs w:val="21"/>
              </w:rPr>
              <w:t>为患者提供用药提醒、用药指导、随访跟踪等服务管理信息化系统的得</w:t>
            </w:r>
            <w:r>
              <w:rPr>
                <w:rFonts w:hint="eastAsia" w:eastAsia="宋体" w:cs="Times New Roman"/>
                <w:color w:val="auto"/>
                <w:sz w:val="21"/>
                <w:szCs w:val="21"/>
                <w:lang w:val="en-US" w:eastAsia="zh-CN"/>
              </w:rPr>
              <w:t>5</w:t>
            </w:r>
            <w:r>
              <w:rPr>
                <w:rFonts w:hint="default" w:ascii="Times New Roman" w:hAnsi="Times New Roman" w:eastAsia="宋体" w:cs="Times New Roman"/>
                <w:color w:val="auto"/>
                <w:sz w:val="21"/>
                <w:szCs w:val="21"/>
              </w:rPr>
              <w:t>分</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不完善的酌情扣分</w:t>
            </w:r>
            <w:r>
              <w:rPr>
                <w:rFonts w:hint="default" w:ascii="Times New Roman" w:hAnsi="Times New Roman" w:eastAsia="宋体" w:cs="Times New Roman"/>
                <w:color w:val="auto"/>
                <w:sz w:val="21"/>
                <w:szCs w:val="21"/>
              </w:rPr>
              <w:t>。</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满分1</w:t>
            </w:r>
            <w:r>
              <w:rPr>
                <w:rFonts w:hint="default" w:ascii="Times New Roman" w:hAnsi="Times New Roman" w:eastAsia="宋体" w:cs="Times New Roman"/>
                <w:color w:val="auto"/>
                <w:sz w:val="21"/>
                <w:szCs w:val="21"/>
                <w:lang w:val="en-US" w:eastAsia="zh-CN"/>
              </w:rPr>
              <w:t>5</w:t>
            </w:r>
            <w:r>
              <w:rPr>
                <w:rFonts w:hint="default" w:ascii="Times New Roman" w:hAnsi="Times New Roman" w:eastAsia="宋体" w:cs="Times New Roman"/>
                <w:color w:val="auto"/>
                <w:sz w:val="21"/>
                <w:szCs w:val="21"/>
              </w:rPr>
              <w:t>分。</w:t>
            </w:r>
          </w:p>
        </w:tc>
        <w:tc>
          <w:tcPr>
            <w:tcW w:w="767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1.申请药店提供相关信息化建设</w:t>
            </w:r>
            <w:r>
              <w:rPr>
                <w:rFonts w:hint="default" w:ascii="Times New Roman" w:hAnsi="Times New Roman" w:eastAsia="宋体" w:cs="Times New Roman"/>
                <w:color w:val="auto"/>
                <w:sz w:val="21"/>
                <w:szCs w:val="21"/>
                <w:lang w:val="en-US" w:eastAsia="zh-CN"/>
              </w:rPr>
              <w:t>及信息管理制度方案</w:t>
            </w:r>
            <w:r>
              <w:rPr>
                <w:rFonts w:hint="default" w:ascii="Times New Roman" w:hAnsi="Times New Roman" w:eastAsia="宋体" w:cs="Times New Roman"/>
                <w:color w:val="auto"/>
                <w:sz w:val="21"/>
                <w:szCs w:val="21"/>
              </w:rPr>
              <w:t>，提供配送管理系统、冷链监控系统、患者服务管理系统等信息化系统运行的截图。</w:t>
            </w:r>
            <w:r>
              <w:rPr>
                <w:rFonts w:hint="default" w:ascii="Times New Roman" w:hAnsi="Times New Roman" w:eastAsia="宋体" w:cs="Times New Roman"/>
                <w:color w:val="auto"/>
                <w:sz w:val="21"/>
                <w:szCs w:val="21"/>
                <w:lang w:val="en-US" w:eastAsia="zh-CN"/>
              </w:rPr>
              <w:t>其中无法</w:t>
            </w:r>
            <w:r>
              <w:rPr>
                <w:rFonts w:hint="default" w:ascii="Times New Roman" w:hAnsi="Times New Roman" w:eastAsia="宋体" w:cs="Times New Roman"/>
                <w:color w:val="auto"/>
                <w:sz w:val="21"/>
                <w:szCs w:val="21"/>
              </w:rPr>
              <w:t>实现与医保信息系统有效对接</w:t>
            </w:r>
            <w:r>
              <w:rPr>
                <w:rFonts w:hint="default" w:ascii="Times New Roman" w:hAnsi="Times New Roman" w:eastAsia="宋体" w:cs="Times New Roman"/>
                <w:color w:val="auto"/>
                <w:sz w:val="21"/>
                <w:szCs w:val="21"/>
                <w:lang w:val="en-US" w:eastAsia="zh-CN"/>
              </w:rPr>
              <w:t>的</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取消遴选资格及后续定点资格。</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2.评审专家对照评分，对未能提供的材料，酌情扣分，其中：</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药房至患者侧配送管理及冷链全程实时监控系统：包括系统能够管理到药品电子监管码，从而能够分辨配送给患者的是哪一盒药；系统对于药品配送有清晰的记录，配送给谁、谁送货、何时出发、何时送到；系统能够实时接收专用冷链箱在配送途中回传的温度和位置数据，可以根据业务需要设置回传的频率；对于冷链药品，在配送管理系统中能够清晰展现配送全程的途中温度状况及配送路线，从而确保药品出库地点和配送起止时间和实际情况匹配；配送管理系统能够对配送途中的超温情况通过颜色或声音给出提醒。</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以上没有信息化管理得0分，有系统但功能不健全，每少一项扣1分，扣完</w:t>
            </w:r>
            <w:r>
              <w:rPr>
                <w:rFonts w:hint="eastAsia" w:eastAsia="宋体" w:cs="Times New Roman"/>
                <w:color w:val="auto"/>
                <w:sz w:val="21"/>
                <w:szCs w:val="21"/>
                <w:lang w:val="en-US" w:eastAsia="zh-CN"/>
              </w:rPr>
              <w:t>5</w:t>
            </w:r>
            <w:r>
              <w:rPr>
                <w:rFonts w:hint="default" w:ascii="Times New Roman" w:hAnsi="Times New Roman" w:eastAsia="宋体" w:cs="Times New Roman"/>
                <w:color w:val="auto"/>
                <w:sz w:val="21"/>
                <w:szCs w:val="21"/>
              </w:rPr>
              <w:t>分为止。</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患者服务管理信息化：包括系统能够清楚记录哪个患者购买了何种药品，以便于随后围绕此患者使用的具体药品情况开展售后服务；系统能够管理维护针对患者的服务计划；系统能够根据患者服务计划自动创建服务任务，并将任务分配给指定客服人员或执业药师开展服务；系统能够清晰记录开展的一系列服务情况，如谁什么时候联系了患者，做了什么服务（用药提醒、用药指导、随访跟踪、赠药提醒等）；系统能够提供患者服务执行的时效管理，对于超过服务时限的任务能够给予药房管理人员明显地提醒。</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以上没有信息化管理得0分，有系统但功能不健全，每少一项扣1分，扣完</w:t>
            </w:r>
            <w:r>
              <w:rPr>
                <w:rFonts w:hint="eastAsia" w:eastAsia="宋体" w:cs="Times New Roman"/>
                <w:color w:val="auto"/>
                <w:sz w:val="21"/>
                <w:szCs w:val="21"/>
                <w:lang w:val="en-US" w:eastAsia="zh-CN"/>
              </w:rPr>
              <w:t>5</w:t>
            </w:r>
            <w:r>
              <w:rPr>
                <w:rFonts w:hint="default" w:ascii="Times New Roman" w:hAnsi="Times New Roman" w:eastAsia="宋体" w:cs="Times New Roman"/>
                <w:color w:val="auto"/>
                <w:sz w:val="21"/>
                <w:szCs w:val="21"/>
              </w:rPr>
              <w:t>分为止。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0" w:hRule="atLeast"/>
          <w:jc w:val="center"/>
        </w:trPr>
        <w:tc>
          <w:tcPr>
            <w:tcW w:w="1064" w:type="dxa"/>
            <w:vMerge w:val="restart"/>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b/>
                <w:color w:val="auto"/>
                <w:sz w:val="21"/>
                <w:szCs w:val="21"/>
                <w:lang w:val="en-US" w:eastAsia="zh-CN"/>
              </w:rPr>
            </w:pPr>
            <w:r>
              <w:rPr>
                <w:rFonts w:hint="default" w:ascii="Times New Roman" w:hAnsi="Times New Roman" w:eastAsia="宋体" w:cs="Times New Roman"/>
                <w:b/>
                <w:color w:val="auto"/>
                <w:sz w:val="21"/>
                <w:szCs w:val="21"/>
                <w:lang w:val="en-US" w:eastAsia="zh-CN"/>
              </w:rPr>
              <w:t>三、</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服务能力</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left"/>
              <w:textAlignment w:val="auto"/>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（35分）</w:t>
            </w:r>
          </w:p>
        </w:tc>
        <w:tc>
          <w:tcPr>
            <w:tcW w:w="8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eastAsia="宋体" w:cs="Times New Roman"/>
                <w:color w:val="auto"/>
                <w:sz w:val="21"/>
                <w:szCs w:val="21"/>
                <w:lang w:val="en-US" w:eastAsia="zh-CN"/>
              </w:rPr>
              <w:t>15</w:t>
            </w:r>
          </w:p>
        </w:tc>
        <w:tc>
          <w:tcPr>
            <w:tcW w:w="11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配送服务</w:t>
            </w:r>
          </w:p>
        </w:tc>
        <w:tc>
          <w:tcPr>
            <w:tcW w:w="36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申请药店具备将</w:t>
            </w:r>
            <w:r>
              <w:rPr>
                <w:rFonts w:hint="default" w:ascii="Times New Roman" w:hAnsi="Times New Roman" w:eastAsia="宋体" w:cs="Times New Roman"/>
                <w:color w:val="auto"/>
                <w:sz w:val="21"/>
                <w:szCs w:val="21"/>
                <w:lang w:val="en-US" w:eastAsia="zh-CN"/>
              </w:rPr>
              <w:t>药品</w:t>
            </w:r>
            <w:r>
              <w:rPr>
                <w:rFonts w:hint="default" w:ascii="Times New Roman" w:hAnsi="Times New Roman" w:eastAsia="宋体" w:cs="Times New Roman"/>
                <w:color w:val="auto"/>
                <w:sz w:val="21"/>
                <w:szCs w:val="21"/>
              </w:rPr>
              <w:t>按时保质配送到</w:t>
            </w:r>
            <w:r>
              <w:rPr>
                <w:rFonts w:hint="default" w:ascii="Times New Roman" w:hAnsi="Times New Roman" w:eastAsia="宋体" w:cs="Times New Roman"/>
                <w:color w:val="auto"/>
                <w:sz w:val="21"/>
                <w:szCs w:val="21"/>
                <w:lang w:val="en-US" w:eastAsia="zh-CN"/>
              </w:rPr>
              <w:t>责任医师</w:t>
            </w:r>
            <w:r>
              <w:rPr>
                <w:rFonts w:hint="default" w:ascii="Times New Roman" w:hAnsi="Times New Roman" w:eastAsia="宋体" w:cs="Times New Roman"/>
                <w:color w:val="auto"/>
                <w:sz w:val="21"/>
                <w:szCs w:val="21"/>
              </w:rPr>
              <w:t>或指定地点的能力。有明确的配送操作规程的得</w:t>
            </w:r>
            <w:r>
              <w:rPr>
                <w:rFonts w:hint="eastAsia" w:eastAsia="宋体" w:cs="Times New Roman"/>
                <w:color w:val="auto"/>
                <w:sz w:val="21"/>
                <w:szCs w:val="21"/>
                <w:lang w:val="en-US" w:eastAsia="zh-CN"/>
              </w:rPr>
              <w:t>5</w:t>
            </w:r>
            <w:r>
              <w:rPr>
                <w:rFonts w:hint="default" w:ascii="Times New Roman" w:hAnsi="Times New Roman" w:eastAsia="宋体" w:cs="Times New Roman"/>
                <w:color w:val="auto"/>
                <w:sz w:val="21"/>
                <w:szCs w:val="21"/>
              </w:rPr>
              <w:t>分，有近一年的配送服务信息化记录的得</w:t>
            </w:r>
            <w:r>
              <w:rPr>
                <w:rFonts w:hint="eastAsia" w:eastAsia="宋体" w:cs="Times New Roman"/>
                <w:color w:val="auto"/>
                <w:sz w:val="21"/>
                <w:szCs w:val="21"/>
                <w:lang w:val="en-US" w:eastAsia="zh-CN"/>
              </w:rPr>
              <w:t>5</w:t>
            </w:r>
            <w:r>
              <w:rPr>
                <w:rFonts w:hint="default" w:ascii="Times New Roman" w:hAnsi="Times New Roman" w:eastAsia="宋体" w:cs="Times New Roman"/>
                <w:color w:val="auto"/>
                <w:sz w:val="21"/>
                <w:szCs w:val="21"/>
              </w:rPr>
              <w:t>分，有零售专用冷链配送设备的得</w:t>
            </w:r>
            <w:r>
              <w:rPr>
                <w:rFonts w:hint="eastAsia" w:eastAsia="宋体" w:cs="Times New Roman"/>
                <w:color w:val="auto"/>
                <w:sz w:val="21"/>
                <w:szCs w:val="21"/>
                <w:lang w:val="en-US" w:eastAsia="zh-CN"/>
              </w:rPr>
              <w:t>5</w:t>
            </w:r>
            <w:r>
              <w:rPr>
                <w:rFonts w:hint="default" w:ascii="Times New Roman" w:hAnsi="Times New Roman" w:eastAsia="宋体" w:cs="Times New Roman"/>
                <w:color w:val="auto"/>
                <w:sz w:val="21"/>
                <w:szCs w:val="21"/>
              </w:rPr>
              <w:t>分。</w:t>
            </w:r>
          </w:p>
        </w:tc>
        <w:tc>
          <w:tcPr>
            <w:tcW w:w="767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1.申请药店提供配送操作规程、配送服务信息化记录截图、患者签收单据复印件、零售专用冷链配送设备照片及认证文件等复印件。</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2.评审专家查看提供的材料，按下列标准酌情打分：</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（1）有清晰完整配送操作规程制度文件的，得</w:t>
            </w:r>
            <w:r>
              <w:rPr>
                <w:rFonts w:hint="eastAsia" w:eastAsia="宋体" w:cs="Times New Roman"/>
                <w:color w:val="auto"/>
                <w:sz w:val="21"/>
                <w:szCs w:val="21"/>
                <w:lang w:val="en-US" w:eastAsia="zh-CN"/>
              </w:rPr>
              <w:t>5</w:t>
            </w:r>
            <w:r>
              <w:rPr>
                <w:rFonts w:hint="default" w:ascii="Times New Roman" w:hAnsi="Times New Roman" w:eastAsia="宋体" w:cs="Times New Roman"/>
                <w:color w:val="auto"/>
                <w:sz w:val="21"/>
                <w:szCs w:val="21"/>
              </w:rPr>
              <w:t>分；</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（2）患者签收单据和配送管理信息系统记录完整一致的，得</w:t>
            </w:r>
            <w:r>
              <w:rPr>
                <w:rFonts w:hint="eastAsia" w:eastAsia="宋体" w:cs="Times New Roman"/>
                <w:color w:val="auto"/>
                <w:sz w:val="21"/>
                <w:szCs w:val="21"/>
                <w:lang w:val="en-US" w:eastAsia="zh-CN"/>
              </w:rPr>
              <w:t>5</w:t>
            </w:r>
            <w:r>
              <w:rPr>
                <w:rFonts w:hint="default" w:ascii="Times New Roman" w:hAnsi="Times New Roman" w:eastAsia="宋体" w:cs="Times New Roman"/>
                <w:color w:val="auto"/>
                <w:sz w:val="21"/>
                <w:szCs w:val="21"/>
              </w:rPr>
              <w:t>分。</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（3）能将冷链箱内温度和位置数据实时传送药店信息管理系统的得</w:t>
            </w:r>
            <w:r>
              <w:rPr>
                <w:rFonts w:hint="eastAsia" w:eastAsia="宋体" w:cs="Times New Roman"/>
                <w:color w:val="auto"/>
                <w:sz w:val="21"/>
                <w:szCs w:val="21"/>
                <w:lang w:val="en-US" w:eastAsia="zh-CN"/>
              </w:rPr>
              <w:t>3</w:t>
            </w:r>
            <w:r>
              <w:rPr>
                <w:rFonts w:hint="default" w:ascii="Times New Roman" w:hAnsi="Times New Roman" w:eastAsia="宋体" w:cs="Times New Roman"/>
                <w:color w:val="auto"/>
                <w:sz w:val="21"/>
                <w:szCs w:val="21"/>
              </w:rPr>
              <w:t>分；冷链箱通过第三方验证的，</w:t>
            </w:r>
            <w:r>
              <w:rPr>
                <w:rFonts w:hint="eastAsia" w:eastAsia="宋体" w:cs="Times New Roman"/>
                <w:color w:val="auto"/>
                <w:sz w:val="21"/>
                <w:szCs w:val="21"/>
                <w:lang w:val="en-US" w:eastAsia="zh-CN"/>
              </w:rPr>
              <w:t>加</w:t>
            </w:r>
            <w:r>
              <w:rPr>
                <w:rFonts w:hint="default" w:ascii="Times New Roman" w:hAnsi="Times New Roman" w:eastAsia="宋体" w:cs="Times New Roman"/>
                <w:color w:val="auto"/>
                <w:sz w:val="21"/>
                <w:szCs w:val="21"/>
              </w:rPr>
              <w:t>2分</w:t>
            </w:r>
            <w:r>
              <w:rPr>
                <w:rFonts w:hint="eastAsia" w:eastAsia="宋体" w:cs="Times New Roman"/>
                <w:color w:val="auto"/>
                <w:sz w:val="21"/>
                <w:szCs w:val="21"/>
                <w:lang w:eastAsia="zh-CN"/>
              </w:rPr>
              <w:t>，</w:t>
            </w:r>
            <w:r>
              <w:rPr>
                <w:rFonts w:hint="eastAsia" w:eastAsia="宋体" w:cs="Times New Roman"/>
                <w:color w:val="auto"/>
                <w:sz w:val="21"/>
                <w:szCs w:val="21"/>
                <w:lang w:val="en-US" w:eastAsia="zh-CN"/>
              </w:rPr>
              <w:t>满分5分</w:t>
            </w:r>
            <w:r>
              <w:rPr>
                <w:rFonts w:hint="default" w:ascii="Times New Roman" w:hAnsi="Times New Roman" w:eastAsia="宋体" w:cs="Times New Roman"/>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1064"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left"/>
              <w:textAlignment w:val="auto"/>
              <w:rPr>
                <w:rFonts w:hint="default" w:ascii="Times New Roman" w:hAnsi="Times New Roman" w:eastAsia="宋体" w:cs="Times New Roman"/>
                <w:b/>
                <w:color w:val="auto"/>
                <w:sz w:val="21"/>
                <w:szCs w:val="21"/>
              </w:rPr>
            </w:pPr>
          </w:p>
        </w:tc>
        <w:tc>
          <w:tcPr>
            <w:tcW w:w="8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10</w:t>
            </w:r>
          </w:p>
        </w:tc>
        <w:tc>
          <w:tcPr>
            <w:tcW w:w="11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谈判药品</w:t>
            </w:r>
            <w:r>
              <w:rPr>
                <w:rFonts w:hint="default" w:ascii="Times New Roman" w:hAnsi="Times New Roman" w:eastAsia="宋体" w:cs="Times New Roman"/>
                <w:color w:val="auto"/>
                <w:sz w:val="21"/>
                <w:szCs w:val="21"/>
                <w:highlight w:val="none"/>
              </w:rPr>
              <w:t>销售</w:t>
            </w:r>
          </w:p>
        </w:tc>
        <w:tc>
          <w:tcPr>
            <w:tcW w:w="36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申请药店2017年1月1日至今，每销售过1种</w:t>
            </w:r>
            <w:r>
              <w:rPr>
                <w:rFonts w:hint="default" w:ascii="Times New Roman" w:hAnsi="Times New Roman" w:eastAsia="宋体" w:cs="Times New Roman"/>
                <w:color w:val="auto"/>
                <w:sz w:val="21"/>
                <w:szCs w:val="21"/>
                <w:highlight w:val="none"/>
                <w:lang w:eastAsia="zh-CN"/>
              </w:rPr>
              <w:t>国家医保谈判药品</w:t>
            </w:r>
            <w:r>
              <w:rPr>
                <w:rFonts w:hint="default" w:ascii="Times New Roman" w:hAnsi="Times New Roman" w:eastAsia="宋体" w:cs="Times New Roman"/>
                <w:color w:val="auto"/>
                <w:sz w:val="21"/>
                <w:szCs w:val="21"/>
                <w:highlight w:val="none"/>
              </w:rPr>
              <w:t>相关品种的得</w:t>
            </w:r>
            <w:r>
              <w:rPr>
                <w:rFonts w:hint="eastAsia" w:eastAsia="宋体"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分，满分</w:t>
            </w:r>
            <w:r>
              <w:rPr>
                <w:rFonts w:hint="eastAsia" w:eastAsia="宋体" w:cs="Times New Roman"/>
                <w:color w:val="auto"/>
                <w:sz w:val="21"/>
                <w:szCs w:val="21"/>
                <w:highlight w:val="none"/>
                <w:lang w:val="en-US" w:eastAsia="zh-CN"/>
              </w:rPr>
              <w:t>10</w:t>
            </w:r>
            <w:r>
              <w:rPr>
                <w:rFonts w:hint="default" w:ascii="Times New Roman" w:hAnsi="Times New Roman" w:eastAsia="宋体" w:cs="Times New Roman"/>
                <w:color w:val="auto"/>
                <w:sz w:val="21"/>
                <w:szCs w:val="21"/>
                <w:highlight w:val="none"/>
              </w:rPr>
              <w:t>分。</w:t>
            </w:r>
          </w:p>
        </w:tc>
        <w:tc>
          <w:tcPr>
            <w:tcW w:w="767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1.申请药店提供相关药品进销发票（单据）复印件、进销存系统记录。</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2.评审专家按规定时间段内有进销记录的</w:t>
            </w:r>
            <w:r>
              <w:rPr>
                <w:rFonts w:hint="default" w:ascii="Times New Roman" w:hAnsi="Times New Roman" w:eastAsia="宋体" w:cs="Times New Roman"/>
                <w:color w:val="auto"/>
                <w:sz w:val="21"/>
                <w:szCs w:val="21"/>
                <w:highlight w:val="none"/>
                <w:lang w:eastAsia="zh-CN"/>
              </w:rPr>
              <w:t>国家医保谈判药品</w:t>
            </w:r>
            <w:r>
              <w:rPr>
                <w:rFonts w:hint="default" w:ascii="Times New Roman" w:hAnsi="Times New Roman" w:eastAsia="宋体" w:cs="Times New Roman"/>
                <w:color w:val="auto"/>
                <w:sz w:val="21"/>
                <w:szCs w:val="21"/>
                <w:highlight w:val="none"/>
              </w:rPr>
              <w:t>内品种计数打分，进销发票（单据）与进销存系统记录要保持一致。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5" w:hRule="atLeast"/>
          <w:jc w:val="center"/>
        </w:trPr>
        <w:tc>
          <w:tcPr>
            <w:tcW w:w="1064"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left"/>
              <w:textAlignment w:val="auto"/>
              <w:rPr>
                <w:rFonts w:hint="default" w:ascii="Times New Roman" w:hAnsi="Times New Roman" w:eastAsia="宋体" w:cs="Times New Roman"/>
                <w:b/>
                <w:color w:val="auto"/>
                <w:sz w:val="21"/>
                <w:szCs w:val="21"/>
              </w:rPr>
            </w:pPr>
          </w:p>
        </w:tc>
        <w:tc>
          <w:tcPr>
            <w:tcW w:w="8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7</w:t>
            </w:r>
          </w:p>
        </w:tc>
        <w:tc>
          <w:tcPr>
            <w:tcW w:w="11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谈判药品储备率</w:t>
            </w:r>
          </w:p>
        </w:tc>
        <w:tc>
          <w:tcPr>
            <w:tcW w:w="36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申请药店（或连锁企业）具备较强的国家医保谈判药品储备、供给能力，能提供国家2020年谈判药品目录60%药品的得4分，每超过10%加1分，满分7分。</w:t>
            </w:r>
          </w:p>
        </w:tc>
        <w:tc>
          <w:tcPr>
            <w:tcW w:w="767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申请药店（或连锁企业）以正式承诺形式（加盖公章）提供谈判药品储备清单并标明数量，原则上药品供应能力在今后的经营中不得低于申请定点时承诺标准，否则将予以相应处罚直至取消定点资格。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5" w:hRule="atLeast"/>
          <w:jc w:val="center"/>
        </w:trPr>
        <w:tc>
          <w:tcPr>
            <w:tcW w:w="1064" w:type="dxa"/>
            <w:vMerge w:val="continue"/>
            <w:tcBorders>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left"/>
              <w:textAlignment w:val="auto"/>
              <w:rPr>
                <w:rFonts w:hint="default" w:ascii="Times New Roman" w:hAnsi="Times New Roman" w:eastAsia="宋体" w:cs="Times New Roman"/>
                <w:b/>
                <w:color w:val="auto"/>
                <w:sz w:val="21"/>
                <w:szCs w:val="21"/>
              </w:rPr>
            </w:pPr>
          </w:p>
        </w:tc>
        <w:tc>
          <w:tcPr>
            <w:tcW w:w="8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Times New Roman" w:hAnsi="Times New Roman" w:eastAsia="宋体" w:cs="Times New Roman"/>
                <w:color w:val="auto"/>
                <w:sz w:val="21"/>
                <w:szCs w:val="21"/>
                <w:highlight w:val="none"/>
                <w:lang w:eastAsia="zh-CN"/>
              </w:rPr>
            </w:pPr>
            <w:r>
              <w:rPr>
                <w:rFonts w:hint="eastAsia" w:eastAsia="宋体" w:cs="Times New Roman"/>
                <w:color w:val="auto"/>
                <w:sz w:val="21"/>
                <w:szCs w:val="21"/>
                <w:highlight w:val="none"/>
                <w:lang w:val="en-US" w:eastAsia="zh-CN"/>
              </w:rPr>
              <w:t>3</w:t>
            </w:r>
          </w:p>
        </w:tc>
        <w:tc>
          <w:tcPr>
            <w:tcW w:w="11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慈善服务</w:t>
            </w:r>
          </w:p>
        </w:tc>
        <w:tc>
          <w:tcPr>
            <w:tcW w:w="36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highlight w:val="none"/>
              </w:rPr>
            </w:pPr>
            <w:r>
              <w:rPr>
                <w:rFonts w:hint="eastAsia" w:eastAsia="宋体" w:cs="Times New Roman"/>
                <w:color w:val="auto"/>
                <w:sz w:val="21"/>
                <w:szCs w:val="21"/>
                <w:highlight w:val="none"/>
                <w:lang w:val="en-US" w:eastAsia="zh-CN"/>
              </w:rPr>
              <w:t>申请药店（或连锁企业）</w:t>
            </w:r>
            <w:r>
              <w:rPr>
                <w:rFonts w:hint="default" w:ascii="Times New Roman" w:hAnsi="Times New Roman" w:eastAsia="宋体" w:cs="Times New Roman"/>
                <w:color w:val="auto"/>
                <w:sz w:val="21"/>
                <w:szCs w:val="21"/>
                <w:highlight w:val="none"/>
              </w:rPr>
              <w:t>202</w:t>
            </w:r>
            <w:r>
              <w:rPr>
                <w:rFonts w:hint="default" w:ascii="Times New Roman" w:hAnsi="Times New Roman" w:eastAsia="宋体"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年</w:t>
            </w:r>
            <w:r>
              <w:rPr>
                <w:rFonts w:hint="eastAsia" w:eastAsia="宋体" w:cs="Times New Roman"/>
                <w:color w:val="auto"/>
                <w:sz w:val="21"/>
                <w:szCs w:val="21"/>
                <w:highlight w:val="none"/>
                <w:lang w:val="en-US" w:eastAsia="zh-CN"/>
              </w:rPr>
              <w:t>8</w:t>
            </w:r>
            <w:r>
              <w:rPr>
                <w:rFonts w:hint="default" w:ascii="Times New Roman" w:hAnsi="Times New Roman" w:eastAsia="宋体" w:cs="Times New Roman"/>
                <w:color w:val="auto"/>
                <w:sz w:val="21"/>
                <w:szCs w:val="21"/>
                <w:highlight w:val="none"/>
              </w:rPr>
              <w:t>月</w:t>
            </w:r>
            <w:r>
              <w:rPr>
                <w:rFonts w:hint="eastAsia" w:eastAsia="宋体" w:cs="Times New Roman"/>
                <w:color w:val="auto"/>
                <w:sz w:val="21"/>
                <w:szCs w:val="21"/>
                <w:highlight w:val="none"/>
                <w:lang w:val="en-US" w:eastAsia="zh-CN"/>
              </w:rPr>
              <w:t>20</w:t>
            </w:r>
            <w:r>
              <w:rPr>
                <w:rFonts w:hint="default" w:ascii="Times New Roman" w:hAnsi="Times New Roman" w:eastAsia="宋体" w:cs="Times New Roman"/>
                <w:color w:val="auto"/>
                <w:sz w:val="21"/>
                <w:szCs w:val="21"/>
                <w:highlight w:val="none"/>
              </w:rPr>
              <w:t>日前被认定</w:t>
            </w:r>
            <w:r>
              <w:rPr>
                <w:rFonts w:hint="default" w:ascii="Times New Roman" w:hAnsi="Times New Roman" w:eastAsia="宋体" w:cs="Times New Roman"/>
                <w:color w:val="auto"/>
                <w:sz w:val="21"/>
                <w:szCs w:val="21"/>
                <w:highlight w:val="none"/>
                <w:lang w:val="en-US" w:eastAsia="zh-CN"/>
              </w:rPr>
              <w:t>过</w:t>
            </w:r>
            <w:r>
              <w:rPr>
                <w:rFonts w:hint="default" w:ascii="Times New Roman" w:hAnsi="Times New Roman" w:eastAsia="宋体" w:cs="Times New Roman"/>
                <w:color w:val="auto"/>
                <w:sz w:val="21"/>
                <w:szCs w:val="21"/>
                <w:highlight w:val="none"/>
              </w:rPr>
              <w:t>慈善赠药发放点的得</w:t>
            </w:r>
            <w:r>
              <w:rPr>
                <w:rFonts w:hint="eastAsia"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分</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申请药店当前在做赠药发放的，每有一个慈善赠药品种得</w:t>
            </w:r>
            <w:r>
              <w:rPr>
                <w:rFonts w:hint="eastAsia" w:ascii="Times New Roman" w:hAnsi="Times New Roman" w:eastAsia="宋体" w:cs="Times New Roman"/>
                <w:color w:val="auto"/>
                <w:sz w:val="21"/>
                <w:szCs w:val="21"/>
                <w:highlight w:val="none"/>
                <w:lang w:val="en-US" w:eastAsia="zh-CN"/>
              </w:rPr>
              <w:t>0.5</w:t>
            </w:r>
            <w:r>
              <w:rPr>
                <w:rFonts w:hint="default" w:ascii="Times New Roman" w:hAnsi="Times New Roman" w:eastAsia="宋体" w:cs="Times New Roman"/>
                <w:color w:val="auto"/>
                <w:sz w:val="21"/>
                <w:szCs w:val="21"/>
                <w:highlight w:val="none"/>
              </w:rPr>
              <w:t>分，最多</w:t>
            </w:r>
            <w:r>
              <w:rPr>
                <w:rFonts w:hint="eastAsia" w:eastAsia="宋体" w:cs="Times New Roman"/>
                <w:color w:val="auto"/>
                <w:sz w:val="21"/>
                <w:szCs w:val="21"/>
                <w:highlight w:val="none"/>
                <w:lang w:val="en-US" w:eastAsia="zh-CN"/>
              </w:rPr>
              <w:t>加1</w:t>
            </w:r>
            <w:r>
              <w:rPr>
                <w:rFonts w:hint="default" w:ascii="Times New Roman" w:hAnsi="Times New Roman" w:eastAsia="宋体" w:cs="Times New Roman"/>
                <w:color w:val="auto"/>
                <w:sz w:val="21"/>
                <w:szCs w:val="21"/>
                <w:highlight w:val="none"/>
              </w:rPr>
              <w:t>分。满分</w:t>
            </w:r>
            <w:r>
              <w:rPr>
                <w:rFonts w:hint="eastAsia"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分。</w:t>
            </w:r>
          </w:p>
        </w:tc>
        <w:tc>
          <w:tcPr>
            <w:tcW w:w="767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r>
              <w:rPr>
                <w:rFonts w:hint="eastAsia" w:eastAsia="宋体" w:cs="Times New Roman"/>
                <w:color w:val="auto"/>
                <w:sz w:val="21"/>
                <w:szCs w:val="21"/>
                <w:highlight w:val="none"/>
                <w:lang w:val="en-US" w:eastAsia="zh-CN"/>
              </w:rPr>
              <w:t>申请药店（或连锁企业）</w:t>
            </w:r>
            <w:r>
              <w:rPr>
                <w:rFonts w:hint="default" w:ascii="Times New Roman" w:hAnsi="Times New Roman" w:eastAsia="宋体" w:cs="Times New Roman"/>
                <w:color w:val="auto"/>
                <w:sz w:val="21"/>
                <w:szCs w:val="21"/>
                <w:highlight w:val="none"/>
              </w:rPr>
              <w:t>提供慈善赠药发药点协议授权及赠药发放记录复印件。</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2.评审专家根据申请药店提供材料逐项打分。</w:t>
            </w:r>
          </w:p>
        </w:tc>
      </w:tr>
    </w:tbl>
    <w:p>
      <w:pPr>
        <w:pStyle w:val="2"/>
        <w:rPr>
          <w:rFonts w:hint="default"/>
          <w:color w:val="auto"/>
          <w:lang w:val="en-US" w:eastAsia="zh-CN"/>
        </w:rPr>
        <w:sectPr>
          <w:footerReference r:id="rId3" w:type="default"/>
          <w:pgSz w:w="16838" w:h="11906" w:orient="landscape"/>
          <w:pgMar w:top="984" w:right="1417" w:bottom="1067" w:left="1417" w:header="851" w:footer="992" w:gutter="0"/>
          <w:cols w:space="0" w:num="1"/>
          <w:rtlGutter w:val="0"/>
          <w:docGrid w:type="lines" w:linePitch="631" w:charSpace="0"/>
        </w:sectPr>
      </w:pPr>
    </w:p>
    <w:p>
      <w:pPr>
        <w:keepNext w:val="0"/>
        <w:keepLines w:val="0"/>
        <w:pageBreakBefore w:val="0"/>
        <w:widowControl w:val="0"/>
        <w:numPr>
          <w:numId w:val="0"/>
        </w:numPr>
        <w:tabs>
          <w:tab w:val="left" w:pos="397"/>
        </w:tabs>
        <w:kinsoku/>
        <w:wordWrap/>
        <w:overflowPunct/>
        <w:topLinePunct w:val="0"/>
        <w:autoSpaceDE/>
        <w:autoSpaceDN/>
        <w:bidi w:val="0"/>
        <w:adjustRightInd/>
        <w:snapToGrid/>
        <w:spacing w:line="240" w:lineRule="auto"/>
        <w:textAlignment w:val="auto"/>
      </w:pPr>
      <w:bookmarkStart w:id="0" w:name="_GoBack"/>
      <w:bookmarkEnd w:id="0"/>
    </w:p>
    <w:sectPr>
      <w:pgSz w:w="11906" w:h="16838"/>
      <w:pgMar w:top="1871" w:right="1531" w:bottom="1757" w:left="1531" w:header="851" w:footer="992" w:gutter="0"/>
      <w:cols w:space="0" w:num="1"/>
      <w:rtlGutter w:val="0"/>
      <w:docGrid w:type="lines" w:linePitch="6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汉仪粗仿宋简">
    <w:panose1 w:val="02010600000101010101"/>
    <w:charset w:val="86"/>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5"/>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16C56CC"/>
    <w:rsid w:val="05EC1B30"/>
    <w:rsid w:val="616C56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ind w:firstLine="200" w:firstLineChars="200"/>
      <w:jc w:val="both"/>
    </w:pPr>
    <w:rPr>
      <w:rFonts w:ascii="Times New Roman" w:hAnsi="Times New Roman" w:eastAsia="仿宋_GB2312" w:cs="黑体"/>
      <w:kern w:val="2"/>
      <w:sz w:val="32"/>
      <w:szCs w:val="32"/>
      <w:lang w:val="en-US" w:eastAsia="zh-CN" w:bidi="ar-SA"/>
    </w:rPr>
  </w:style>
  <w:style w:type="paragraph" w:styleId="3">
    <w:name w:val="heading 1"/>
    <w:basedOn w:val="1"/>
    <w:next w:val="1"/>
    <w:qFormat/>
    <w:uiPriority w:val="0"/>
    <w:pPr>
      <w:spacing w:before="0" w:beforeAutospacing="0" w:after="0" w:afterAutospacing="0" w:line="640" w:lineRule="exact"/>
      <w:ind w:firstLine="0" w:firstLineChars="0"/>
      <w:jc w:val="center"/>
      <w:outlineLvl w:val="0"/>
    </w:pPr>
    <w:rPr>
      <w:rFonts w:hint="eastAsia" w:ascii="宋体" w:hAnsi="宋体" w:eastAsia="方正小标宋简体" w:cs="宋体"/>
      <w:kern w:val="44"/>
      <w:sz w:val="44"/>
      <w:szCs w:val="48"/>
      <w:lang w:bidi="ar"/>
    </w:rPr>
  </w:style>
  <w:style w:type="paragraph" w:styleId="4">
    <w:name w:val="heading 2"/>
    <w:basedOn w:val="1"/>
    <w:next w:val="1"/>
    <w:unhideWhenUsed/>
    <w:qFormat/>
    <w:uiPriority w:val="0"/>
    <w:pPr>
      <w:keepNext w:val="0"/>
      <w:keepLines w:val="0"/>
      <w:spacing w:beforeLines="0" w:beforeAutospacing="0" w:afterLines="0" w:afterAutospacing="0" w:line="240" w:lineRule="auto"/>
      <w:ind w:firstLine="643" w:firstLineChars="200"/>
      <w:outlineLvl w:val="1"/>
    </w:pPr>
    <w:rPr>
      <w:rFonts w:ascii="Arial" w:hAnsi="Arial" w:eastAsia="黑体"/>
    </w:rPr>
  </w:style>
  <w:style w:type="character" w:default="1" w:styleId="9">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customStyle="1" w:styleId="2">
    <w:name w:val="_Style 2"/>
    <w:basedOn w:val="1"/>
    <w:qFormat/>
    <w:uiPriority w:val="0"/>
    <w:pPr>
      <w:spacing w:line="351" w:lineRule="atLeast"/>
      <w:ind w:firstLine="623"/>
      <w:textAlignment w:val="baseline"/>
    </w:pPr>
    <w:rPr>
      <w:rFonts w:ascii="Times New Roman" w:hAnsi="Times New Roman" w:eastAsia="仿宋_GB2312" w:cs="Times New Roman"/>
      <w:color w:val="000000"/>
      <w:sz w:val="31"/>
      <w:szCs w:val="20"/>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样式3"/>
    <w:basedOn w:val="1"/>
    <w:uiPriority w:val="0"/>
    <w:rPr>
      <w:rFonts w:eastAsia="仿宋_GB2312" w:asciiTheme="minorAscii" w:hAnsiTheme="minorAscii"/>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Office_11.1.0.9740_F1E327BC-269C-435d-A152-05C5408002CA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2021-08-20T03:00:00Z</dcterms:created>
  <dc:creator>杨（办公室）</dc:creator>
  <cp:lastModifiedBy>杨（办公室）</cp:lastModifiedBy>
  <dcterms:modified xsi:type="dcterms:W3CDTF">2021-08-20T03:05:46Z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