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pBdr>
          <w:bottom w:val="none" w:color="auto" w:sz="0" w:space="0"/>
        </w:pBdr>
        <w:kinsoku/>
        <w:wordWrap/>
        <w:overflowPunct/>
        <w:topLinePunct w:val="0"/>
        <w:autoSpaceDE/>
        <w:bidi w:val="0"/>
        <w:adjustRightInd/>
        <w:spacing w:before="0" w:beforeLines="0" w:after="0" w:afterLines="0" w:line="240" w:lineRule="auto"/>
        <w:ind w:left="0" w:leftChars="0" w:right="0" w:rightChars="0" w:firstLine="0" w:firstLineChars="0"/>
        <w:jc w:val="both"/>
        <w:textAlignment w:val="auto"/>
        <w:outlineLvl w:val="9"/>
        <w:rPr>
          <w:rFonts w:hint="eastAsia" w:ascii="方正小标宋简体" w:hAnsi="宋体" w:eastAsia="方正小标宋简体"/>
          <w:b w:val="0"/>
          <w:bCs/>
          <w:color w:val="FF0000"/>
          <w:w w:val="66"/>
          <w:position w:val="-4"/>
          <w:sz w:val="132"/>
          <w:szCs w:val="132"/>
        </w:rPr>
      </w:pPr>
      <w:bookmarkStart w:id="1" w:name="_GoBack"/>
      <w:bookmarkEnd w:id="1"/>
    </w:p>
    <w:p>
      <w:pPr>
        <w:pStyle w:val="3"/>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sz w:val="21"/>
          <w:szCs w:val="21"/>
          <w:lang w:val="en-US" w:eastAsia="zh-CN"/>
        </w:rPr>
      </w:pPr>
    </w:p>
    <w:p>
      <w:pPr>
        <w:pStyle w:val="3"/>
        <w:bidi w:val="0"/>
        <w:jc w:val="center"/>
        <w:rPr>
          <w:rFonts w:hint="eastAsia"/>
          <w:color w:val="auto"/>
          <w:lang w:val="en-US" w:eastAsia="zh-CN"/>
        </w:rPr>
      </w:pPr>
      <w:r>
        <w:rPr>
          <w:rFonts w:hint="eastAsia"/>
          <w:color w:val="auto"/>
          <w:lang w:val="en-US" w:eastAsia="zh-CN"/>
        </w:rPr>
        <w:t>关于</w:t>
      </w:r>
      <w:r>
        <w:rPr>
          <w:rFonts w:hint="eastAsia"/>
          <w:color w:val="auto"/>
        </w:rPr>
        <w:t>遴选我市“双通道”管理定点零售药店</w:t>
      </w:r>
      <w:r>
        <w:rPr>
          <w:rFonts w:hint="eastAsia"/>
          <w:color w:val="auto"/>
          <w:lang w:val="en-US" w:eastAsia="zh-CN"/>
        </w:rPr>
        <w:t>的通知</w:t>
      </w:r>
    </w:p>
    <w:p>
      <w:pPr>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铜医保办〔2021〕51号</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仿宋_GB2312"/>
          <w:color w:val="auto"/>
          <w:sz w:val="32"/>
          <w:szCs w:val="32"/>
          <w:lang w:eastAsia="zh-CN"/>
        </w:rPr>
      </w:pPr>
      <w:r>
        <w:rPr>
          <w:rFonts w:hint="eastAsia"/>
          <w:color w:val="auto"/>
          <w:lang w:eastAsia="zh-CN"/>
        </w:rPr>
        <w:t>枞阳县、义安区</w:t>
      </w:r>
      <w:r>
        <w:rPr>
          <w:rFonts w:hint="eastAsia"/>
          <w:color w:val="auto"/>
          <w:sz w:val="32"/>
          <w:szCs w:val="32"/>
        </w:rPr>
        <w:t>医保局，</w:t>
      </w:r>
      <w:r>
        <w:rPr>
          <w:rFonts w:hint="eastAsia"/>
          <w:color w:val="auto"/>
          <w:sz w:val="32"/>
          <w:szCs w:val="32"/>
          <w:lang w:val="en-US" w:eastAsia="zh-CN"/>
        </w:rPr>
        <w:t>市医保经办机构，</w:t>
      </w:r>
      <w:r>
        <w:rPr>
          <w:rFonts w:hint="eastAsia"/>
          <w:color w:val="auto"/>
          <w:sz w:val="32"/>
          <w:szCs w:val="32"/>
        </w:rPr>
        <w:t>各相关</w:t>
      </w:r>
      <w:r>
        <w:rPr>
          <w:rFonts w:hint="eastAsia"/>
          <w:color w:val="auto"/>
          <w:sz w:val="32"/>
          <w:szCs w:val="32"/>
          <w:lang w:val="en-US" w:eastAsia="zh-CN"/>
        </w:rPr>
        <w:t>定点</w:t>
      </w:r>
      <w:r>
        <w:rPr>
          <w:rFonts w:hint="eastAsia"/>
          <w:color w:val="auto"/>
          <w:sz w:val="32"/>
          <w:szCs w:val="32"/>
        </w:rPr>
        <w:t>零售药店</w:t>
      </w:r>
      <w:r>
        <w:rPr>
          <w:rFonts w:hint="eastAsia"/>
          <w:color w:val="auto"/>
          <w:sz w:val="32"/>
          <w:szCs w:val="32"/>
          <w:lang w:eastAsia="zh-CN"/>
        </w:rPr>
        <w:t>：</w:t>
      </w:r>
    </w:p>
    <w:p>
      <w:pPr>
        <w:bidi w:val="0"/>
        <w:rPr>
          <w:rFonts w:hint="eastAsia" w:eastAsia="仿宋_GB2312"/>
          <w:color w:val="auto"/>
          <w:lang w:eastAsia="zh-CN"/>
        </w:rPr>
      </w:pPr>
      <w:r>
        <w:rPr>
          <w:rFonts w:hint="eastAsia"/>
          <w:color w:val="auto"/>
        </w:rPr>
        <w:t>为</w:t>
      </w:r>
      <w:r>
        <w:rPr>
          <w:rFonts w:hint="eastAsia"/>
          <w:color w:val="auto"/>
          <w:lang w:eastAsia="zh-CN"/>
        </w:rPr>
        <w:t>充分</w:t>
      </w:r>
      <w:r>
        <w:rPr>
          <w:rFonts w:hint="eastAsia"/>
          <w:color w:val="auto"/>
        </w:rPr>
        <w:t>发挥</w:t>
      </w:r>
      <w:r>
        <w:rPr>
          <w:rFonts w:hint="eastAsia" w:ascii="Times New Roman" w:hAnsi="Times New Roman" w:eastAsia="仿宋_GB2312" w:cs="Times New Roman"/>
          <w:color w:val="auto"/>
          <w:sz w:val="32"/>
          <w:lang w:val="en-US" w:eastAsia="zh-CN"/>
        </w:rPr>
        <w:t>我市</w:t>
      </w:r>
      <w:r>
        <w:rPr>
          <w:rFonts w:hint="eastAsia"/>
          <w:color w:val="auto"/>
        </w:rPr>
        <w:t>医保定点零售药店在国家医保谈判药品“双通道”供应保障方面的积极作用，进一步推动政策落地见效，现就遴选我市“双通道”管理定点零售药店工作通知如下</w:t>
      </w:r>
      <w:r>
        <w:rPr>
          <w:rFonts w:hint="eastAsia"/>
          <w:color w:val="auto"/>
          <w:lang w:eastAsia="zh-CN"/>
        </w:rPr>
        <w:t>：</w:t>
      </w:r>
    </w:p>
    <w:p>
      <w:pPr>
        <w:bidi w:val="0"/>
        <w:rPr>
          <w:rFonts w:hint="eastAsia"/>
          <w:color w:val="auto"/>
        </w:rPr>
      </w:pPr>
      <w:r>
        <w:rPr>
          <w:rFonts w:hint="eastAsia"/>
          <w:color w:val="auto"/>
          <w:lang w:val="en-US" w:eastAsia="zh-CN"/>
        </w:rPr>
        <w:t>一、</w:t>
      </w:r>
      <w:r>
        <w:rPr>
          <w:rFonts w:hint="eastAsia"/>
          <w:color w:val="auto"/>
        </w:rPr>
        <w:t>申请药店</w:t>
      </w:r>
      <w:r>
        <w:rPr>
          <w:rFonts w:hint="eastAsia"/>
          <w:color w:val="auto"/>
          <w:lang w:eastAsia="zh-CN"/>
        </w:rPr>
        <w:t>按照</w:t>
      </w:r>
      <w:r>
        <w:rPr>
          <w:rFonts w:hint="eastAsia"/>
          <w:color w:val="auto"/>
        </w:rPr>
        <w:t>《</w:t>
      </w:r>
      <w:r>
        <w:rPr>
          <w:rFonts w:hint="eastAsia"/>
          <w:color w:val="auto"/>
          <w:lang w:val="en-US" w:eastAsia="zh-CN"/>
        </w:rPr>
        <w:t>铜陵市</w:t>
      </w:r>
      <w:r>
        <w:rPr>
          <w:rFonts w:hint="eastAsia"/>
          <w:color w:val="auto"/>
        </w:rPr>
        <w:t>“双通道”</w:t>
      </w:r>
      <w:r>
        <w:rPr>
          <w:rFonts w:hint="eastAsia"/>
          <w:color w:val="auto"/>
          <w:lang w:eastAsia="zh-CN"/>
        </w:rPr>
        <w:t>管理定点零售药店遴选方案</w:t>
      </w:r>
      <w:r>
        <w:rPr>
          <w:rFonts w:hint="eastAsia"/>
          <w:color w:val="auto"/>
        </w:rPr>
        <w:t>》</w:t>
      </w:r>
      <w:r>
        <w:rPr>
          <w:rFonts w:hint="eastAsia"/>
          <w:color w:val="auto"/>
          <w:lang w:eastAsia="zh-CN"/>
        </w:rPr>
        <w:t>（</w:t>
      </w:r>
      <w:r>
        <w:rPr>
          <w:rFonts w:hint="eastAsia"/>
          <w:color w:val="auto"/>
        </w:rPr>
        <w:t>附件</w:t>
      </w:r>
      <w:r>
        <w:rPr>
          <w:rFonts w:hint="eastAsia"/>
          <w:color w:val="auto"/>
          <w:lang w:val="en-US" w:eastAsia="zh-CN"/>
        </w:rPr>
        <w:t>一</w:t>
      </w:r>
      <w:r>
        <w:rPr>
          <w:rFonts w:hint="eastAsia"/>
          <w:color w:val="auto"/>
          <w:lang w:eastAsia="zh-CN"/>
        </w:rPr>
        <w:t>）要求</w:t>
      </w:r>
      <w:r>
        <w:rPr>
          <w:rFonts w:hint="eastAsia"/>
          <w:color w:val="auto"/>
        </w:rPr>
        <w:t>，</w:t>
      </w:r>
      <w:r>
        <w:rPr>
          <w:rFonts w:hint="eastAsia"/>
          <w:color w:val="auto"/>
          <w:lang w:eastAsia="zh-CN"/>
        </w:rPr>
        <w:t>对照《铜陵市“双通道”管理定点零售药店评分标准》（</w:t>
      </w:r>
      <w:r>
        <w:rPr>
          <w:rFonts w:hint="eastAsia"/>
          <w:color w:val="auto"/>
        </w:rPr>
        <w:t>附件</w:t>
      </w:r>
      <w:r>
        <w:rPr>
          <w:rFonts w:hint="eastAsia"/>
          <w:color w:val="auto"/>
          <w:lang w:val="en-US" w:eastAsia="zh-CN"/>
        </w:rPr>
        <w:t>二</w:t>
      </w:r>
      <w:r>
        <w:rPr>
          <w:rFonts w:hint="eastAsia"/>
          <w:color w:val="auto"/>
          <w:lang w:eastAsia="zh-CN"/>
        </w:rPr>
        <w:t>）自愿提出申请。</w:t>
      </w:r>
      <w:r>
        <w:rPr>
          <w:rFonts w:hint="eastAsia"/>
          <w:color w:val="auto"/>
          <w:lang w:val="en-US" w:eastAsia="zh-CN"/>
        </w:rPr>
        <w:t>经</w:t>
      </w:r>
      <w:r>
        <w:rPr>
          <w:rFonts w:hint="eastAsia"/>
          <w:color w:val="auto"/>
        </w:rPr>
        <w:t>专家评审、现场</w:t>
      </w:r>
      <w:r>
        <w:rPr>
          <w:rFonts w:hint="eastAsia"/>
          <w:color w:val="auto"/>
          <w:lang w:eastAsia="zh-CN"/>
        </w:rPr>
        <w:t>复核</w:t>
      </w:r>
      <w:r>
        <w:rPr>
          <w:rFonts w:hint="eastAsia"/>
          <w:color w:val="auto"/>
        </w:rPr>
        <w:t>和网上公示等环节后，确定</w:t>
      </w:r>
      <w:r>
        <w:rPr>
          <w:rFonts w:hint="eastAsia"/>
          <w:color w:val="auto"/>
          <w:lang w:eastAsia="zh-CN"/>
        </w:rPr>
        <w:t>为</w:t>
      </w:r>
      <w:r>
        <w:rPr>
          <w:rFonts w:hint="eastAsia"/>
          <w:color w:val="auto"/>
        </w:rPr>
        <w:t>我市“双通道”管理定点零售药店。</w:t>
      </w:r>
    </w:p>
    <w:p>
      <w:pPr>
        <w:bidi w:val="0"/>
        <w:rPr>
          <w:rFonts w:hint="eastAsia" w:cs="Times New Roman"/>
          <w:color w:val="auto"/>
          <w:sz w:val="32"/>
          <w:lang w:val="en-US" w:eastAsia="zh-CN"/>
        </w:rPr>
      </w:pPr>
      <w:r>
        <w:rPr>
          <w:rFonts w:hint="eastAsia"/>
          <w:color w:val="auto"/>
        </w:rPr>
        <w:t>二、</w:t>
      </w:r>
      <w:r>
        <w:rPr>
          <w:rFonts w:hint="eastAsia"/>
          <w:color w:val="auto"/>
          <w:lang w:eastAsia="zh-CN"/>
        </w:rPr>
        <w:t>市本级范围内</w:t>
      </w:r>
      <w:r>
        <w:rPr>
          <w:rFonts w:hint="eastAsia"/>
          <w:color w:val="auto"/>
          <w:lang w:val="en-US" w:eastAsia="zh-CN"/>
        </w:rPr>
        <w:t>有意</w:t>
      </w:r>
      <w:r>
        <w:rPr>
          <w:rFonts w:hint="eastAsia"/>
          <w:color w:val="auto"/>
        </w:rPr>
        <w:t>申请</w:t>
      </w:r>
      <w:r>
        <w:rPr>
          <w:rFonts w:hint="eastAsia"/>
          <w:color w:val="auto"/>
          <w:lang w:val="en-US" w:eastAsia="zh-CN"/>
        </w:rPr>
        <w:t>的</w:t>
      </w:r>
      <w:r>
        <w:rPr>
          <w:rFonts w:hint="eastAsia"/>
          <w:color w:val="auto"/>
        </w:rPr>
        <w:t>药店</w:t>
      </w:r>
      <w:r>
        <w:rPr>
          <w:rFonts w:hint="eastAsia"/>
          <w:color w:val="auto"/>
          <w:lang w:eastAsia="zh-CN"/>
        </w:rPr>
        <w:t>请</w:t>
      </w:r>
      <w:r>
        <w:rPr>
          <w:rFonts w:hint="eastAsia"/>
          <w:color w:val="auto"/>
        </w:rPr>
        <w:t>于202</w:t>
      </w:r>
      <w:r>
        <w:rPr>
          <w:rFonts w:hint="eastAsia"/>
          <w:color w:val="auto"/>
          <w:lang w:val="en-US" w:eastAsia="zh-CN"/>
        </w:rPr>
        <w:t>1</w:t>
      </w:r>
      <w:r>
        <w:rPr>
          <w:rFonts w:hint="eastAsia"/>
          <w:color w:val="auto"/>
        </w:rPr>
        <w:t>年</w:t>
      </w:r>
      <w:r>
        <w:rPr>
          <w:rFonts w:hint="eastAsia"/>
          <w:color w:val="auto"/>
          <w:lang w:val="en-US" w:eastAsia="zh-CN"/>
        </w:rPr>
        <w:t>8</w:t>
      </w:r>
      <w:r>
        <w:rPr>
          <w:rFonts w:hint="eastAsia"/>
          <w:color w:val="auto"/>
        </w:rPr>
        <w:t>月</w:t>
      </w:r>
      <w:r>
        <w:rPr>
          <w:rFonts w:hint="eastAsia"/>
          <w:color w:val="auto"/>
          <w:lang w:val="en-US" w:eastAsia="zh-CN"/>
        </w:rPr>
        <w:t>31</w:t>
      </w:r>
      <w:r>
        <w:rPr>
          <w:rFonts w:hint="eastAsia"/>
          <w:color w:val="auto"/>
        </w:rPr>
        <w:t>日前</w:t>
      </w:r>
      <w:r>
        <w:rPr>
          <w:rFonts w:hint="eastAsia"/>
          <w:color w:val="auto"/>
          <w:lang w:eastAsia="zh-CN"/>
        </w:rPr>
        <w:t>将申请表和送审材料（</w:t>
      </w:r>
      <w:r>
        <w:rPr>
          <w:rFonts w:hint="eastAsia"/>
          <w:color w:val="auto"/>
        </w:rPr>
        <w:t>附件</w:t>
      </w:r>
      <w:r>
        <w:rPr>
          <w:rFonts w:hint="eastAsia"/>
          <w:color w:val="auto"/>
          <w:lang w:val="en-US" w:eastAsia="zh-CN"/>
        </w:rPr>
        <w:t>三</w:t>
      </w:r>
      <w:r>
        <w:rPr>
          <w:rFonts w:hint="eastAsia"/>
          <w:color w:val="auto"/>
          <w:lang w:eastAsia="zh-CN"/>
        </w:rPr>
        <w:t>）装订成册（一式五份，</w:t>
      </w:r>
      <w:r>
        <w:rPr>
          <w:rFonts w:hint="eastAsia"/>
          <w:color w:val="auto"/>
          <w:lang w:val="en-US" w:eastAsia="zh-CN"/>
        </w:rPr>
        <w:t>加盖公章</w:t>
      </w:r>
      <w:r>
        <w:rPr>
          <w:rFonts w:hint="eastAsia"/>
          <w:color w:val="auto"/>
          <w:lang w:eastAsia="zh-CN"/>
        </w:rPr>
        <w:t>）</w:t>
      </w:r>
      <w:r>
        <w:rPr>
          <w:rFonts w:hint="eastAsia"/>
          <w:color w:val="auto"/>
        </w:rPr>
        <w:t>报送至</w:t>
      </w:r>
      <w:r>
        <w:rPr>
          <w:rFonts w:hint="eastAsia"/>
          <w:color w:val="auto"/>
          <w:lang w:eastAsia="zh-CN"/>
        </w:rPr>
        <w:t>市医保局待遇保障科</w:t>
      </w:r>
      <w:r>
        <w:rPr>
          <w:rFonts w:hint="eastAsia" w:cs="Times New Roman"/>
          <w:color w:val="auto"/>
          <w:sz w:val="32"/>
          <w:lang w:eastAsia="zh-CN"/>
        </w:rPr>
        <w:t>（</w:t>
      </w:r>
      <w:r>
        <w:rPr>
          <w:rFonts w:hint="eastAsia" w:cs="Times New Roman"/>
          <w:color w:val="auto"/>
          <w:sz w:val="32"/>
          <w:lang w:val="en-US" w:eastAsia="zh-CN"/>
        </w:rPr>
        <w:t>单位地址：铜陵市鑫冠大厦8楼，</w:t>
      </w:r>
      <w:r>
        <w:rPr>
          <w:rFonts w:hint="eastAsia" w:ascii="Times New Roman" w:hAnsi="Times New Roman" w:eastAsia="仿宋_GB2312" w:cs="Times New Roman"/>
          <w:color w:val="auto"/>
          <w:sz w:val="32"/>
        </w:rPr>
        <w:t>联系人：</w:t>
      </w:r>
      <w:r>
        <w:rPr>
          <w:rFonts w:hint="eastAsia" w:ascii="Times New Roman" w:hAnsi="Times New Roman" w:eastAsia="仿宋_GB2312" w:cs="Times New Roman"/>
          <w:color w:val="auto"/>
          <w:sz w:val="32"/>
          <w:lang w:val="en-US" w:eastAsia="zh-CN"/>
        </w:rPr>
        <w:t>邓浩</w:t>
      </w:r>
      <w:r>
        <w:rPr>
          <w:rFonts w:hint="eastAsia" w:ascii="Times New Roman" w:hAnsi="Times New Roman" w:eastAsia="仿宋_GB2312" w:cs="Times New Roman"/>
          <w:color w:val="auto"/>
          <w:sz w:val="32"/>
          <w:lang w:eastAsia="zh-CN"/>
        </w:rPr>
        <w:t>，</w:t>
      </w:r>
      <w:r>
        <w:rPr>
          <w:rFonts w:hint="eastAsia" w:cs="Times New Roman"/>
          <w:color w:val="auto"/>
          <w:sz w:val="32"/>
          <w:lang w:eastAsia="zh-CN"/>
        </w:rPr>
        <w:t>联系电话：</w:t>
      </w:r>
      <w:r>
        <w:rPr>
          <w:rFonts w:hint="eastAsia" w:ascii="Times New Roman" w:hAnsi="Times New Roman" w:eastAsia="仿宋_GB2312" w:cs="Times New Roman"/>
          <w:color w:val="auto"/>
          <w:sz w:val="32"/>
          <w:lang w:val="en-US" w:eastAsia="zh-CN"/>
        </w:rPr>
        <w:t>0562-2618007</w:t>
      </w:r>
      <w:r>
        <w:rPr>
          <w:rFonts w:hint="eastAsia" w:cs="Times New Roman"/>
          <w:color w:val="auto"/>
          <w:sz w:val="32"/>
          <w:lang w:val="en-US" w:eastAsia="zh-CN"/>
        </w:rPr>
        <w:t>）。</w:t>
      </w:r>
    </w:p>
    <w:p>
      <w:pPr>
        <w:bidi w:val="0"/>
        <w:rPr>
          <w:rFonts w:hint="eastAsia" w:eastAsia="仿宋_GB2312"/>
          <w:color w:val="auto"/>
          <w:lang w:val="en-US" w:eastAsia="zh-CN"/>
        </w:rPr>
      </w:pPr>
      <w:r>
        <w:rPr>
          <w:rFonts w:hint="eastAsia"/>
          <w:color w:val="auto"/>
          <w:lang w:eastAsia="zh-CN"/>
        </w:rPr>
        <w:t>三、枞阳县、义安区根据本通知精神自行组织本辖区内</w:t>
      </w:r>
      <w:r>
        <w:rPr>
          <w:rFonts w:hint="eastAsia"/>
          <w:color w:val="auto"/>
        </w:rPr>
        <w:t>“双通道”管理定点零售药店</w:t>
      </w:r>
      <w:r>
        <w:rPr>
          <w:rFonts w:hint="eastAsia"/>
          <w:color w:val="auto"/>
          <w:lang w:eastAsia="zh-CN"/>
        </w:rPr>
        <w:t>遴选程序，</w:t>
      </w:r>
      <w:r>
        <w:rPr>
          <w:rFonts w:hint="eastAsia"/>
          <w:color w:val="auto"/>
          <w:sz w:val="32"/>
          <w:szCs w:val="32"/>
        </w:rPr>
        <w:t>原则上</w:t>
      </w:r>
      <w:r>
        <w:rPr>
          <w:rFonts w:hint="eastAsia"/>
          <w:color w:val="auto"/>
          <w:sz w:val="32"/>
          <w:szCs w:val="32"/>
          <w:lang w:eastAsia="zh-CN"/>
        </w:rPr>
        <w:t>各遴选</w:t>
      </w:r>
      <w:r>
        <w:rPr>
          <w:rFonts w:hint="eastAsia"/>
          <w:color w:val="auto"/>
          <w:sz w:val="32"/>
          <w:szCs w:val="32"/>
          <w:highlight w:val="none"/>
          <w:lang w:val="en-US" w:eastAsia="zh-CN"/>
        </w:rPr>
        <w:t>1~2</w:t>
      </w:r>
      <w:r>
        <w:rPr>
          <w:rFonts w:hint="eastAsia"/>
          <w:color w:val="auto"/>
          <w:sz w:val="32"/>
          <w:szCs w:val="32"/>
          <w:highlight w:val="none"/>
        </w:rPr>
        <w:t>家</w:t>
      </w:r>
      <w:r>
        <w:rPr>
          <w:rFonts w:hint="eastAsia"/>
          <w:color w:val="auto"/>
          <w:sz w:val="32"/>
          <w:szCs w:val="32"/>
        </w:rPr>
        <w:t>，</w:t>
      </w:r>
      <w:r>
        <w:rPr>
          <w:rFonts w:hint="eastAsia"/>
          <w:color w:val="auto"/>
          <w:lang w:eastAsia="zh-CN"/>
        </w:rPr>
        <w:t>相关工作应于</w:t>
      </w:r>
      <w:r>
        <w:rPr>
          <w:rFonts w:hint="eastAsia"/>
          <w:color w:val="auto"/>
          <w:lang w:val="en-US" w:eastAsia="zh-CN"/>
        </w:rPr>
        <w:t>9月20日前完成</w:t>
      </w:r>
      <w:r>
        <w:rPr>
          <w:rFonts w:hint="eastAsia"/>
          <w:color w:val="auto"/>
          <w:lang w:eastAsia="zh-CN"/>
        </w:rPr>
        <w:t>并将遴选结果书面报市医保局备案</w:t>
      </w:r>
      <w:r>
        <w:rPr>
          <w:rFonts w:hint="eastAsia" w:cs="Times New Roman"/>
          <w:color w:val="auto"/>
          <w:sz w:val="32"/>
          <w:lang w:eastAsia="zh-CN"/>
        </w:rPr>
        <w:t>（</w:t>
      </w:r>
      <w:r>
        <w:rPr>
          <w:rFonts w:hint="eastAsia" w:ascii="Times New Roman" w:hAnsi="Times New Roman" w:eastAsia="仿宋_GB2312" w:cs="Times New Roman"/>
          <w:color w:val="auto"/>
          <w:sz w:val="32"/>
        </w:rPr>
        <w:t>联系人</w:t>
      </w:r>
      <w:r>
        <w:rPr>
          <w:rFonts w:hint="eastAsia" w:cs="Times New Roman"/>
          <w:color w:val="auto"/>
          <w:sz w:val="32"/>
          <w:lang w:eastAsia="zh-CN"/>
        </w:rPr>
        <w:t>同上</w:t>
      </w:r>
      <w:r>
        <w:rPr>
          <w:rFonts w:hint="eastAsia" w:cs="Times New Roman"/>
          <w:color w:val="auto"/>
          <w:sz w:val="32"/>
          <w:lang w:val="en-US" w:eastAsia="zh-CN"/>
        </w:rPr>
        <w:t>）</w:t>
      </w:r>
      <w:r>
        <w:rPr>
          <w:rFonts w:hint="eastAsia"/>
          <w:color w:val="auto"/>
          <w:lang w:eastAsia="zh-CN"/>
        </w:rPr>
        <w:t>。</w:t>
      </w:r>
      <w:r>
        <w:rPr>
          <w:rFonts w:hint="eastAsia"/>
          <w:color w:val="auto"/>
          <w:lang w:val="en-US" w:eastAsia="zh-CN"/>
        </w:rPr>
        <w:t>所有遴选</w:t>
      </w:r>
      <w:r>
        <w:rPr>
          <w:rFonts w:hint="eastAsia"/>
          <w:color w:val="auto"/>
        </w:rPr>
        <w:t>“双通道”管理定点零售药店</w:t>
      </w:r>
      <w:r>
        <w:rPr>
          <w:rFonts w:hint="eastAsia"/>
          <w:color w:val="auto"/>
          <w:lang w:val="en-US" w:eastAsia="zh-CN"/>
        </w:rPr>
        <w:t>在</w:t>
      </w:r>
      <w:r>
        <w:rPr>
          <w:rFonts w:hint="eastAsia"/>
          <w:color w:val="auto"/>
          <w:lang w:eastAsia="zh-CN"/>
        </w:rPr>
        <w:t>全市范围内予以互认。</w:t>
      </w:r>
    </w:p>
    <w:p>
      <w:pPr>
        <w:bidi w:val="0"/>
        <w:rPr>
          <w:rFonts w:hint="eastAsia"/>
          <w:color w:val="auto"/>
          <w:sz w:val="36"/>
          <w:szCs w:val="36"/>
          <w:lang w:eastAsia="zh-CN"/>
        </w:rPr>
      </w:pPr>
      <w:r>
        <w:rPr>
          <w:rFonts w:hint="eastAsia"/>
          <w:color w:val="auto"/>
          <w:lang w:eastAsia="zh-CN"/>
        </w:rPr>
        <w:t>特此通知</w:t>
      </w:r>
    </w:p>
    <w:p>
      <w:pPr>
        <w:bidi w:val="0"/>
        <w:rPr>
          <w:rFonts w:hint="eastAsia"/>
          <w:color w:val="auto"/>
          <w:lang w:eastAsia="zh-CN"/>
        </w:rPr>
      </w:pPr>
    </w:p>
    <w:p>
      <w:pPr>
        <w:bidi w:val="0"/>
        <w:rPr>
          <w:rFonts w:hint="eastAsia" w:eastAsia="仿宋_GB2312"/>
          <w:color w:val="auto"/>
          <w:lang w:eastAsia="zh-CN"/>
        </w:rPr>
      </w:pPr>
      <w:r>
        <w:rPr>
          <w:rFonts w:hint="eastAsia"/>
          <w:color w:val="auto"/>
        </w:rPr>
        <w:t>附件</w:t>
      </w:r>
      <w:r>
        <w:rPr>
          <w:rFonts w:hint="eastAsia"/>
          <w:color w:val="auto"/>
          <w:lang w:val="en-US" w:eastAsia="zh-CN"/>
        </w:rPr>
        <w:t>一</w:t>
      </w:r>
      <w:r>
        <w:rPr>
          <w:rFonts w:hint="eastAsia"/>
          <w:color w:val="auto"/>
          <w:lang w:eastAsia="zh-CN"/>
        </w:rPr>
        <w:t>：</w:t>
      </w:r>
      <w:r>
        <w:rPr>
          <w:rFonts w:hint="eastAsia"/>
          <w:color w:val="auto"/>
          <w:lang w:val="en-US" w:eastAsia="zh-CN"/>
        </w:rPr>
        <w:t>铜陵市</w:t>
      </w:r>
      <w:r>
        <w:rPr>
          <w:rFonts w:hint="eastAsia"/>
          <w:color w:val="auto"/>
        </w:rPr>
        <w:t>“双通道”</w:t>
      </w:r>
      <w:r>
        <w:rPr>
          <w:rFonts w:hint="eastAsia"/>
          <w:color w:val="auto"/>
          <w:lang w:eastAsia="zh-CN"/>
        </w:rPr>
        <w:t>管理定点零售药店遴选方案</w:t>
      </w:r>
    </w:p>
    <w:p>
      <w:pPr>
        <w:bidi w:val="0"/>
        <w:rPr>
          <w:rFonts w:hint="eastAsia"/>
          <w:color w:val="auto"/>
          <w:lang w:val="en-US" w:eastAsia="zh-CN"/>
        </w:rPr>
      </w:pPr>
      <w:r>
        <w:rPr>
          <w:rFonts w:hint="eastAsia"/>
          <w:color w:val="auto"/>
          <w:lang w:val="en-US" w:eastAsia="zh-CN"/>
        </w:rPr>
        <w:t>附件二：铜陵市</w:t>
      </w:r>
      <w:r>
        <w:rPr>
          <w:rFonts w:hint="eastAsia"/>
          <w:color w:val="auto"/>
        </w:rPr>
        <w:t>“双通道”管理定点零售药店</w:t>
      </w:r>
      <w:r>
        <w:rPr>
          <w:rFonts w:hint="eastAsia"/>
          <w:color w:val="auto"/>
          <w:lang w:val="en-US" w:eastAsia="zh-CN"/>
        </w:rPr>
        <w:t>评分标准</w:t>
      </w:r>
    </w:p>
    <w:p>
      <w:pPr>
        <w:bidi w:val="0"/>
        <w:rPr>
          <w:rFonts w:hint="default" w:eastAsia="仿宋_GB2312"/>
          <w:color w:val="auto"/>
          <w:lang w:val="en-US" w:eastAsia="zh-CN"/>
        </w:rPr>
      </w:pPr>
      <w:r>
        <w:rPr>
          <w:rFonts w:hint="eastAsia"/>
          <w:color w:val="auto"/>
        </w:rPr>
        <w:t>附件</w:t>
      </w:r>
      <w:r>
        <w:rPr>
          <w:rFonts w:hint="eastAsia"/>
          <w:color w:val="auto"/>
          <w:lang w:val="en-US" w:eastAsia="zh-CN"/>
        </w:rPr>
        <w:t>三</w:t>
      </w:r>
      <w:r>
        <w:rPr>
          <w:rFonts w:hint="eastAsia"/>
          <w:color w:val="auto"/>
          <w:lang w:eastAsia="zh-CN"/>
        </w:rPr>
        <w:t>：</w:t>
      </w:r>
      <w:r>
        <w:rPr>
          <w:rFonts w:hint="eastAsia"/>
          <w:color w:val="auto"/>
          <w:lang w:val="en-US" w:eastAsia="zh-CN"/>
        </w:rPr>
        <w:t>铜陵市</w:t>
      </w:r>
      <w:r>
        <w:rPr>
          <w:rFonts w:hint="eastAsia"/>
          <w:color w:val="auto"/>
        </w:rPr>
        <w:t>“双通道”管理定点零售药店申请表</w:t>
      </w:r>
      <w:r>
        <w:rPr>
          <w:rFonts w:hint="eastAsia"/>
          <w:color w:val="auto"/>
          <w:lang w:eastAsia="zh-CN"/>
        </w:rPr>
        <w:t>和</w:t>
      </w:r>
      <w:r>
        <w:rPr>
          <w:rFonts w:hint="eastAsia"/>
          <w:color w:val="auto"/>
          <w:lang w:val="en-US" w:eastAsia="zh-CN"/>
        </w:rPr>
        <w:t>评审</w:t>
      </w:r>
      <w:r>
        <w:rPr>
          <w:rFonts w:hint="eastAsia"/>
          <w:color w:val="auto"/>
        </w:rPr>
        <w:t>材料</w:t>
      </w:r>
      <w:r>
        <w:rPr>
          <w:rFonts w:hint="eastAsia"/>
          <w:color w:val="auto"/>
          <w:lang w:val="en-US" w:eastAsia="zh-CN"/>
        </w:rPr>
        <w:t>清单</w:t>
      </w:r>
    </w:p>
    <w:p>
      <w:pPr>
        <w:bidi w:val="0"/>
        <w:rPr>
          <w:rFonts w:hint="default" w:eastAsia="仿宋_GB2312"/>
          <w:color w:val="auto"/>
          <w:lang w:val="en-US" w:eastAsia="zh-CN"/>
        </w:rPr>
      </w:pPr>
      <w:r>
        <w:rPr>
          <w:rFonts w:hint="eastAsia"/>
          <w:color w:val="auto"/>
        </w:rPr>
        <w:t>附件</w:t>
      </w:r>
      <w:r>
        <w:rPr>
          <w:rFonts w:hint="eastAsia"/>
          <w:color w:val="auto"/>
          <w:lang w:val="en-US" w:eastAsia="zh-CN"/>
        </w:rPr>
        <w:t>四</w:t>
      </w:r>
      <w:r>
        <w:rPr>
          <w:rFonts w:hint="eastAsia"/>
          <w:color w:val="auto"/>
          <w:lang w:eastAsia="zh-CN"/>
        </w:rPr>
        <w:t>：铜陵市“双通道”管理定点零售药店遴选评分表</w:t>
      </w:r>
    </w:p>
    <w:p>
      <w:pPr>
        <w:bidi w:val="0"/>
        <w:rPr>
          <w:rFonts w:hint="eastAsia"/>
          <w:color w:val="auto"/>
          <w:lang w:val="en-US" w:eastAsia="zh-CN"/>
        </w:rPr>
      </w:pPr>
    </w:p>
    <w:p>
      <w:pPr>
        <w:bidi w:val="0"/>
        <w:rPr>
          <w:rFonts w:hint="eastAsia"/>
          <w:color w:val="auto"/>
          <w:lang w:val="en-US" w:eastAsia="zh-CN"/>
        </w:rPr>
      </w:pPr>
    </w:p>
    <w:p>
      <w:pPr>
        <w:bidi w:val="0"/>
        <w:jc w:val="right"/>
        <w:rPr>
          <w:rFonts w:hint="eastAsia"/>
          <w:color w:val="auto"/>
          <w:lang w:eastAsia="zh-CN"/>
        </w:rPr>
      </w:pPr>
      <w:r>
        <w:rPr>
          <w:rFonts w:hint="eastAsia"/>
          <w:color w:val="auto"/>
          <w:lang w:eastAsia="zh-CN"/>
        </w:rPr>
        <w:t>铜陵市医疗保障局</w:t>
      </w:r>
    </w:p>
    <w:p>
      <w:pPr>
        <w:wordWrap w:val="0"/>
        <w:bidi w:val="0"/>
        <w:jc w:val="right"/>
        <w:rPr>
          <w:rFonts w:hint="default"/>
          <w:color w:val="auto"/>
          <w:lang w:val="en-US" w:eastAsia="zh-CN"/>
        </w:rPr>
      </w:pPr>
      <w:r>
        <w:rPr>
          <w:rFonts w:hint="eastAsia"/>
          <w:color w:val="auto"/>
          <w:lang w:eastAsia="zh-CN"/>
        </w:rPr>
        <w:t>2021年</w:t>
      </w:r>
      <w:r>
        <w:rPr>
          <w:rFonts w:hint="eastAsia"/>
          <w:color w:val="auto"/>
          <w:lang w:val="en-US" w:eastAsia="zh-CN"/>
        </w:rPr>
        <w:t>8</w:t>
      </w:r>
      <w:r>
        <w:rPr>
          <w:rFonts w:hint="eastAsia"/>
          <w:color w:val="auto"/>
          <w:lang w:eastAsia="zh-CN"/>
        </w:rPr>
        <w:t>月</w:t>
      </w:r>
      <w:r>
        <w:rPr>
          <w:rFonts w:hint="eastAsia"/>
          <w:color w:val="auto"/>
          <w:lang w:val="en-US" w:eastAsia="zh-CN"/>
        </w:rPr>
        <w:t>20</w:t>
      </w:r>
      <w:r>
        <w:rPr>
          <w:rFonts w:hint="eastAsia"/>
          <w:color w:val="auto"/>
          <w:lang w:eastAsia="zh-CN"/>
        </w:rPr>
        <w:t>日</w:t>
      </w:r>
    </w:p>
    <w:p>
      <w:pPr>
        <w:jc w:val="both"/>
        <w:rPr>
          <w:rFonts w:hint="eastAsia"/>
          <w:color w:val="auto"/>
          <w:lang w:eastAsia="zh-CN"/>
        </w:rPr>
      </w:pPr>
    </w:p>
    <w:p>
      <w:pPr>
        <w:jc w:val="both"/>
        <w:rPr>
          <w:rFonts w:hint="eastAsia"/>
          <w:color w:val="auto"/>
          <w:lang w:eastAsia="zh-CN"/>
        </w:rPr>
      </w:pPr>
      <w:r>
        <w:rPr>
          <w:rFonts w:hint="eastAsia"/>
          <w:color w:val="auto"/>
          <w:lang w:eastAsia="zh-CN"/>
        </w:rPr>
        <w:br w:type="page"/>
      </w:r>
    </w:p>
    <w:p>
      <w:pPr>
        <w:widowControl/>
        <w:ind w:left="0" w:leftChars="0" w:firstLine="0" w:firstLineChars="0"/>
        <w:rPr>
          <w:rFonts w:hint="eastAsia" w:ascii="Times New Roman" w:hAnsi="Times New Roman" w:eastAsia="黑体"/>
          <w:color w:val="auto"/>
          <w:sz w:val="32"/>
          <w:szCs w:val="32"/>
          <w:lang w:eastAsia="zh-CN"/>
        </w:rPr>
      </w:pPr>
      <w:r>
        <w:rPr>
          <w:rFonts w:hint="eastAsia" w:ascii="Times New Roman" w:hAnsi="Times New Roman" w:eastAsia="黑体"/>
          <w:color w:val="auto"/>
          <w:sz w:val="32"/>
          <w:szCs w:val="32"/>
        </w:rPr>
        <w:t>附件</w:t>
      </w:r>
      <w:r>
        <w:rPr>
          <w:rFonts w:hint="eastAsia" w:ascii="Times New Roman" w:hAnsi="Times New Roman" w:eastAsia="黑体"/>
          <w:color w:val="auto"/>
          <w:sz w:val="32"/>
          <w:szCs w:val="32"/>
          <w:lang w:val="en-US" w:eastAsia="zh-CN"/>
        </w:rPr>
        <w:t>一</w:t>
      </w:r>
      <w:r>
        <w:rPr>
          <w:rFonts w:hint="eastAsia" w:eastAsia="黑体"/>
          <w:color w:val="auto"/>
          <w:sz w:val="32"/>
          <w:szCs w:val="32"/>
          <w:lang w:val="en-US" w:eastAsia="zh-CN"/>
        </w:rPr>
        <w:t>：</w:t>
      </w:r>
    </w:p>
    <w:p>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方正小标宋简体"/>
          <w:color w:val="auto"/>
          <w:lang w:eastAsia="zh-CN"/>
        </w:rPr>
      </w:pPr>
      <w:r>
        <w:rPr>
          <w:rFonts w:hint="eastAsia"/>
          <w:color w:val="auto"/>
        </w:rPr>
        <w:t>铜陵市“双通道”</w:t>
      </w:r>
      <w:r>
        <w:rPr>
          <w:rFonts w:hint="eastAsia"/>
          <w:color w:val="auto"/>
          <w:lang w:eastAsia="zh-CN"/>
        </w:rPr>
        <w:t>管理定点零售药店遴选方案</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为</w:t>
      </w:r>
      <w:r>
        <w:rPr>
          <w:rFonts w:hint="eastAsia" w:cs="Times New Roman"/>
          <w:color w:val="auto"/>
          <w:sz w:val="32"/>
          <w:lang w:eastAsia="zh-CN"/>
        </w:rPr>
        <w:t>充分</w:t>
      </w:r>
      <w:r>
        <w:rPr>
          <w:rFonts w:hint="eastAsia" w:ascii="Times New Roman" w:hAnsi="Times New Roman" w:eastAsia="仿宋_GB2312" w:cs="Times New Roman"/>
          <w:color w:val="auto"/>
          <w:sz w:val="32"/>
        </w:rPr>
        <w:t>发挥</w:t>
      </w:r>
      <w:r>
        <w:rPr>
          <w:rFonts w:hint="eastAsia" w:ascii="Times New Roman" w:hAnsi="Times New Roman" w:eastAsia="仿宋_GB2312" w:cs="Times New Roman"/>
          <w:color w:val="auto"/>
          <w:sz w:val="32"/>
          <w:lang w:val="en-US" w:eastAsia="zh-CN"/>
        </w:rPr>
        <w:t>我市</w:t>
      </w:r>
      <w:r>
        <w:rPr>
          <w:rFonts w:hint="eastAsia" w:ascii="Times New Roman" w:hAnsi="Times New Roman" w:eastAsia="仿宋_GB2312" w:cs="Times New Roman"/>
          <w:color w:val="auto"/>
          <w:sz w:val="32"/>
        </w:rPr>
        <w:t>医保定点零售药店在国家医保谈判药品“双通道”供应保障方面的积极作用，进一步推动政策落地见效，</w:t>
      </w:r>
      <w:r>
        <w:rPr>
          <w:rFonts w:hint="eastAsia" w:ascii="Times New Roman" w:hAnsi="Times New Roman" w:eastAsia="仿宋_GB2312" w:cs="Times New Roman"/>
          <w:color w:val="auto"/>
          <w:sz w:val="32"/>
          <w:lang w:val="en-US" w:eastAsia="zh-CN"/>
        </w:rPr>
        <w:t>现</w:t>
      </w:r>
      <w:r>
        <w:rPr>
          <w:rFonts w:hint="eastAsia" w:ascii="Times New Roman" w:hAnsi="Times New Roman" w:eastAsia="仿宋_GB2312" w:cs="Times New Roman"/>
          <w:color w:val="auto"/>
          <w:sz w:val="32"/>
        </w:rPr>
        <w:t>根据安徽省医疗保障局 安徽省卫生健康委《关于建立完善全省国家医保谈判药品“双通道”管理机制的通知》（皖医保秘〔2021〕58号）</w:t>
      </w:r>
      <w:r>
        <w:rPr>
          <w:rFonts w:hint="eastAsia" w:ascii="Times New Roman" w:hAnsi="Times New Roman" w:eastAsia="仿宋_GB2312" w:cs="Times New Roman"/>
          <w:color w:val="auto"/>
          <w:sz w:val="32"/>
          <w:lang w:val="en-US" w:eastAsia="zh-CN"/>
        </w:rPr>
        <w:t>等文件</w:t>
      </w:r>
      <w:r>
        <w:rPr>
          <w:rFonts w:hint="eastAsia" w:ascii="Times New Roman" w:hAnsi="Times New Roman" w:eastAsia="仿宋_GB2312" w:cs="Times New Roman"/>
          <w:color w:val="auto"/>
          <w:sz w:val="32"/>
        </w:rPr>
        <w:t>要求，制定如下</w:t>
      </w:r>
      <w:r>
        <w:rPr>
          <w:rFonts w:hint="eastAsia" w:cs="Times New Roman"/>
          <w:color w:val="auto"/>
          <w:sz w:val="32"/>
          <w:lang w:val="en-US" w:eastAsia="zh-CN"/>
        </w:rPr>
        <w:t>遴选方案</w:t>
      </w:r>
      <w:r>
        <w:rPr>
          <w:rFonts w:hint="eastAsia" w:ascii="Times New Roman" w:hAnsi="Times New Roman" w:eastAsia="仿宋_GB2312" w:cs="Times New Roman"/>
          <w:color w:val="auto"/>
          <w:sz w:val="32"/>
        </w:rPr>
        <w:t>。</w:t>
      </w:r>
    </w:p>
    <w:p>
      <w:pPr>
        <w:pStyle w:val="4"/>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color w:val="auto"/>
        </w:rPr>
      </w:pPr>
      <w:r>
        <w:rPr>
          <w:rFonts w:hint="eastAsia"/>
          <w:color w:val="auto"/>
        </w:rPr>
        <w:t>一、遴选原则</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采取医保定点零售药店自愿申请、专家评审打分、现场实地复核的办法，</w:t>
      </w:r>
      <w:r>
        <w:rPr>
          <w:rFonts w:hint="eastAsia" w:cs="Times New Roman"/>
          <w:color w:val="auto"/>
          <w:sz w:val="32"/>
          <w:lang w:eastAsia="zh-CN"/>
        </w:rPr>
        <w:t>遴选</w:t>
      </w:r>
      <w:r>
        <w:rPr>
          <w:rFonts w:hint="eastAsia" w:ascii="Times New Roman" w:hAnsi="Times New Roman" w:eastAsia="仿宋_GB2312" w:cs="Times New Roman"/>
          <w:color w:val="auto"/>
          <w:sz w:val="32"/>
          <w:lang w:val="en-US" w:eastAsia="zh-CN"/>
        </w:rPr>
        <w:t>我市</w:t>
      </w:r>
      <w:r>
        <w:rPr>
          <w:rFonts w:hint="eastAsia" w:ascii="Times New Roman" w:hAnsi="Times New Roman" w:eastAsia="仿宋_GB2312" w:cs="Times New Roman"/>
          <w:color w:val="auto"/>
          <w:sz w:val="32"/>
        </w:rPr>
        <w:t>部</w:t>
      </w:r>
      <w:r>
        <w:rPr>
          <w:rFonts w:hint="eastAsia" w:cs="Times New Roman"/>
          <w:color w:val="auto"/>
          <w:sz w:val="32"/>
          <w:lang w:val="en-US" w:eastAsia="zh-CN"/>
        </w:rPr>
        <w:t>分服务设施好、人员力量强、服务行为规范</w:t>
      </w:r>
      <w:r>
        <w:rPr>
          <w:rFonts w:hint="eastAsia" w:cs="Times New Roman"/>
          <w:color w:val="auto"/>
          <w:sz w:val="32"/>
          <w:lang w:eastAsia="zh-CN"/>
        </w:rPr>
        <w:t>的</w:t>
      </w:r>
      <w:r>
        <w:rPr>
          <w:rFonts w:hint="eastAsia" w:ascii="Times New Roman" w:hAnsi="Times New Roman" w:eastAsia="仿宋_GB2312" w:cs="Times New Roman"/>
          <w:color w:val="auto"/>
          <w:sz w:val="32"/>
        </w:rPr>
        <w:t>药店</w:t>
      </w:r>
      <w:r>
        <w:rPr>
          <w:rFonts w:hint="eastAsia" w:cs="Times New Roman"/>
          <w:color w:val="auto"/>
          <w:sz w:val="32"/>
          <w:lang w:val="en-US" w:eastAsia="zh-CN"/>
        </w:rPr>
        <w:t>为</w:t>
      </w:r>
      <w:r>
        <w:rPr>
          <w:rFonts w:hint="eastAsia"/>
          <w:color w:val="auto"/>
        </w:rPr>
        <w:t>“双通道”管理定点零售药店</w:t>
      </w:r>
      <w:r>
        <w:rPr>
          <w:rFonts w:hint="eastAsia"/>
          <w:color w:val="auto"/>
          <w:lang w:eastAsia="zh-CN"/>
        </w:rPr>
        <w:t>（以下简称“双通道”管理药店）</w:t>
      </w:r>
      <w:r>
        <w:rPr>
          <w:rFonts w:hint="eastAsia" w:ascii="Times New Roman" w:hAnsi="Times New Roman" w:eastAsia="仿宋_GB2312" w:cs="Times New Roman"/>
          <w:color w:val="auto"/>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仿宋_GB2312" w:cs="Times New Roman"/>
          <w:color w:val="auto"/>
          <w:sz w:val="32"/>
        </w:rPr>
        <w:t>连锁药店（企业）以具体门店为申报单位，</w:t>
      </w:r>
      <w:r>
        <w:rPr>
          <w:rFonts w:hint="eastAsia" w:ascii="Times New Roman" w:hAnsi="Times New Roman" w:eastAsia="仿宋_GB2312" w:cs="Times New Roman"/>
          <w:color w:val="auto"/>
          <w:sz w:val="32"/>
          <w:lang w:val="en-US" w:eastAsia="zh-CN"/>
        </w:rPr>
        <w:t>原则上</w:t>
      </w:r>
      <w:r>
        <w:rPr>
          <w:rFonts w:hint="eastAsia" w:cs="Times New Roman"/>
          <w:color w:val="auto"/>
          <w:sz w:val="32"/>
          <w:lang w:val="en-US" w:eastAsia="zh-CN"/>
        </w:rPr>
        <w:t>一县（区）</w:t>
      </w:r>
      <w:r>
        <w:rPr>
          <w:rFonts w:hint="eastAsia" w:ascii="Times New Roman" w:hAnsi="Times New Roman" w:eastAsia="仿宋_GB2312" w:cs="Times New Roman"/>
          <w:color w:val="auto"/>
          <w:sz w:val="32"/>
          <w:lang w:val="en-US" w:eastAsia="zh-CN"/>
        </w:rPr>
        <w:t>区域内</w:t>
      </w:r>
      <w:r>
        <w:rPr>
          <w:rFonts w:hint="eastAsia" w:ascii="Times New Roman" w:hAnsi="Times New Roman" w:eastAsia="仿宋_GB2312" w:cs="Times New Roman"/>
          <w:color w:val="auto"/>
          <w:sz w:val="32"/>
        </w:rPr>
        <w:t>只</w:t>
      </w:r>
      <w:r>
        <w:rPr>
          <w:rFonts w:hint="eastAsia" w:cs="Times New Roman"/>
          <w:color w:val="auto"/>
          <w:sz w:val="32"/>
          <w:lang w:eastAsia="zh-CN"/>
        </w:rPr>
        <w:t>能遴选</w:t>
      </w:r>
      <w:r>
        <w:rPr>
          <w:rFonts w:hint="eastAsia" w:ascii="Times New Roman" w:hAnsi="Times New Roman" w:eastAsia="仿宋_GB2312" w:cs="Times New Roman"/>
          <w:color w:val="auto"/>
          <w:sz w:val="32"/>
        </w:rPr>
        <w:t>连锁药店（企业）的一家药店。</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黑体" w:cs="Times New Roman"/>
          <w:color w:val="auto"/>
          <w:sz w:val="32"/>
        </w:rPr>
      </w:pPr>
      <w:r>
        <w:rPr>
          <w:rFonts w:hint="eastAsia" w:ascii="Times New Roman" w:hAnsi="Times New Roman" w:eastAsia="黑体" w:cs="Times New Roman"/>
          <w:color w:val="auto"/>
          <w:sz w:val="32"/>
        </w:rPr>
        <w:t>二、遴选数量</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仿宋_GB2312" w:cs="Times New Roman"/>
          <w:color w:val="auto"/>
          <w:kern w:val="32"/>
          <w:sz w:val="32"/>
        </w:rPr>
        <w:t>根据评审得分</w:t>
      </w:r>
      <w:r>
        <w:rPr>
          <w:rFonts w:hint="eastAsia" w:cs="Times New Roman"/>
          <w:color w:val="auto"/>
          <w:kern w:val="32"/>
          <w:sz w:val="32"/>
          <w:lang w:eastAsia="zh-CN"/>
        </w:rPr>
        <w:t>排名</w:t>
      </w:r>
      <w:r>
        <w:rPr>
          <w:rFonts w:hint="eastAsia" w:ascii="Times New Roman" w:hAnsi="Times New Roman" w:eastAsia="仿宋_GB2312" w:cs="Times New Roman"/>
          <w:color w:val="auto"/>
          <w:kern w:val="32"/>
          <w:sz w:val="32"/>
          <w:lang w:eastAsia="zh-CN"/>
        </w:rPr>
        <w:t>，</w:t>
      </w:r>
      <w:r>
        <w:rPr>
          <w:rFonts w:hint="eastAsia" w:ascii="Times New Roman" w:hAnsi="Times New Roman" w:eastAsia="仿宋_GB2312" w:cs="Times New Roman"/>
          <w:color w:val="auto"/>
          <w:kern w:val="32"/>
          <w:sz w:val="32"/>
        </w:rPr>
        <w:t>按照</w:t>
      </w:r>
      <w:r>
        <w:rPr>
          <w:rFonts w:hint="eastAsia" w:ascii="Times New Roman" w:hAnsi="Times New Roman" w:eastAsia="仿宋_GB2312" w:cs="Times New Roman"/>
          <w:color w:val="auto"/>
          <w:kern w:val="32"/>
          <w:sz w:val="32"/>
          <w:lang w:val="en-US" w:eastAsia="zh-CN"/>
        </w:rPr>
        <w:t>药店占比和地址布局等因素合理</w:t>
      </w:r>
      <w:r>
        <w:rPr>
          <w:rFonts w:hint="eastAsia" w:ascii="Times New Roman" w:hAnsi="Times New Roman" w:eastAsia="仿宋_GB2312" w:cs="Times New Roman"/>
          <w:color w:val="auto"/>
          <w:kern w:val="32"/>
          <w:sz w:val="32"/>
        </w:rPr>
        <w:t>确定</w:t>
      </w:r>
      <w:r>
        <w:rPr>
          <w:rFonts w:hint="eastAsia"/>
          <w:color w:val="auto"/>
          <w:lang w:eastAsia="zh-CN"/>
        </w:rPr>
        <w:t>“双通道”管理药店</w:t>
      </w:r>
      <w:r>
        <w:rPr>
          <w:rFonts w:hint="eastAsia"/>
          <w:color w:val="auto"/>
          <w:lang w:val="en-US" w:eastAsia="zh-CN"/>
        </w:rPr>
        <w:t>数量</w:t>
      </w:r>
      <w:r>
        <w:rPr>
          <w:rFonts w:hint="eastAsia" w:ascii="Times New Roman" w:hAnsi="Times New Roman" w:eastAsia="仿宋_GB2312" w:cs="Times New Roman"/>
          <w:color w:val="auto"/>
          <w:kern w:val="32"/>
          <w:sz w:val="32"/>
        </w:rPr>
        <w:t>。</w:t>
      </w:r>
      <w:r>
        <w:rPr>
          <w:rFonts w:hint="eastAsia"/>
          <w:color w:val="auto"/>
          <w:sz w:val="32"/>
          <w:szCs w:val="32"/>
          <w:lang w:eastAsia="zh-CN"/>
        </w:rPr>
        <w:t>枞阳县、义安区</w:t>
      </w:r>
      <w:r>
        <w:rPr>
          <w:rFonts w:hint="eastAsia"/>
          <w:color w:val="auto"/>
          <w:sz w:val="32"/>
          <w:szCs w:val="32"/>
        </w:rPr>
        <w:t>原则上</w:t>
      </w:r>
      <w:r>
        <w:rPr>
          <w:rFonts w:hint="eastAsia"/>
          <w:color w:val="auto"/>
          <w:sz w:val="32"/>
          <w:szCs w:val="32"/>
          <w:lang w:eastAsia="zh-CN"/>
        </w:rPr>
        <w:t>各遴选</w:t>
      </w:r>
      <w:r>
        <w:rPr>
          <w:rFonts w:hint="eastAsia"/>
          <w:color w:val="auto"/>
          <w:sz w:val="32"/>
          <w:szCs w:val="32"/>
        </w:rPr>
        <w:t>1</w:t>
      </w:r>
      <w:r>
        <w:rPr>
          <w:rFonts w:hint="eastAsia"/>
          <w:color w:val="auto"/>
          <w:sz w:val="32"/>
          <w:szCs w:val="32"/>
          <w:lang w:val="en-US" w:eastAsia="zh-CN"/>
        </w:rPr>
        <w:t>~2</w:t>
      </w:r>
      <w:r>
        <w:rPr>
          <w:rFonts w:hint="eastAsia"/>
          <w:color w:val="auto"/>
          <w:sz w:val="32"/>
          <w:szCs w:val="32"/>
        </w:rPr>
        <w:t>家</w:t>
      </w:r>
      <w:r>
        <w:rPr>
          <w:rFonts w:hint="eastAsia"/>
          <w:color w:val="auto"/>
          <w:lang w:eastAsia="zh-CN"/>
        </w:rPr>
        <w:t>“双通道”管理药店</w:t>
      </w:r>
      <w:r>
        <w:rPr>
          <w:rFonts w:hint="eastAsia"/>
          <w:color w:val="auto"/>
          <w:sz w:val="32"/>
          <w:szCs w:val="32"/>
        </w:rPr>
        <w:t>，市</w:t>
      </w:r>
      <w:r>
        <w:rPr>
          <w:rFonts w:hint="eastAsia"/>
          <w:color w:val="auto"/>
          <w:sz w:val="32"/>
          <w:szCs w:val="32"/>
          <w:lang w:eastAsia="zh-CN"/>
        </w:rPr>
        <w:t>本级</w:t>
      </w:r>
      <w:r>
        <w:rPr>
          <w:rFonts w:hint="eastAsia"/>
          <w:color w:val="auto"/>
          <w:sz w:val="32"/>
          <w:szCs w:val="32"/>
        </w:rPr>
        <w:t>可适当增加数量。</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黑体" w:cs="Times New Roman"/>
          <w:color w:val="auto"/>
          <w:sz w:val="32"/>
        </w:rPr>
      </w:pPr>
      <w:r>
        <w:rPr>
          <w:rFonts w:hint="eastAsia" w:ascii="Times New Roman" w:hAnsi="Times New Roman" w:eastAsia="黑体" w:cs="Times New Roman"/>
          <w:color w:val="auto"/>
          <w:sz w:val="32"/>
        </w:rPr>
        <w:t>三、供应</w:t>
      </w:r>
      <w:r>
        <w:rPr>
          <w:rFonts w:hint="eastAsia" w:eastAsia="黑体" w:cs="Times New Roman"/>
          <w:color w:val="auto"/>
          <w:sz w:val="32"/>
          <w:lang w:val="en-US" w:eastAsia="zh-CN"/>
        </w:rPr>
        <w:t>药品</w:t>
      </w:r>
      <w:r>
        <w:rPr>
          <w:rFonts w:hint="eastAsia" w:ascii="Times New Roman" w:hAnsi="Times New Roman" w:eastAsia="黑体" w:cs="Times New Roman"/>
          <w:color w:val="auto"/>
          <w:sz w:val="32"/>
        </w:rPr>
        <w:t>范围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kern w:val="32"/>
          <w:sz w:val="32"/>
        </w:rPr>
      </w:pPr>
      <w:r>
        <w:rPr>
          <w:rFonts w:hint="eastAsia" w:ascii="仿宋_GB2312" w:hAnsi="仿宋_GB2312" w:eastAsia="仿宋_GB2312" w:cs="仿宋_GB2312"/>
          <w:color w:val="auto"/>
          <w:sz w:val="32"/>
          <w:szCs w:val="32"/>
          <w:lang w:val="en-US" w:eastAsia="zh-CN"/>
        </w:rPr>
        <w:t>在</w:t>
      </w:r>
      <w:r>
        <w:rPr>
          <w:rFonts w:hint="eastAsia" w:ascii="仿宋_GB2312" w:hAnsi="仿宋_GB2312" w:eastAsia="仿宋_GB2312" w:cs="仿宋_GB2312"/>
          <w:color w:val="auto"/>
          <w:sz w:val="32"/>
          <w:szCs w:val="32"/>
        </w:rPr>
        <w:t>省级医保部门统一发布“双通道”</w:t>
      </w:r>
      <w:r>
        <w:rPr>
          <w:rFonts w:hint="eastAsia" w:ascii="仿宋_GB2312" w:hAnsi="仿宋_GB2312" w:eastAsia="仿宋_GB2312" w:cs="仿宋_GB2312"/>
          <w:color w:val="auto"/>
          <w:sz w:val="32"/>
          <w:szCs w:val="32"/>
          <w:lang w:val="en-US" w:eastAsia="zh-CN"/>
        </w:rPr>
        <w:t>管理药品</w:t>
      </w:r>
      <w:r>
        <w:rPr>
          <w:rFonts w:hint="eastAsia" w:ascii="仿宋_GB2312" w:hAnsi="仿宋_GB2312" w:eastAsia="仿宋_GB2312" w:cs="仿宋_GB2312"/>
          <w:color w:val="auto"/>
          <w:sz w:val="32"/>
          <w:szCs w:val="32"/>
        </w:rPr>
        <w:t>目录</w:t>
      </w:r>
      <w:r>
        <w:rPr>
          <w:rFonts w:hint="eastAsia" w:ascii="仿宋_GB2312" w:hAnsi="仿宋_GB2312" w:eastAsia="仿宋_GB2312" w:cs="仿宋_GB2312"/>
          <w:color w:val="auto"/>
          <w:sz w:val="32"/>
          <w:szCs w:val="32"/>
          <w:lang w:val="en-US" w:eastAsia="zh-CN"/>
        </w:rPr>
        <w:t>前，</w:t>
      </w:r>
      <w:r>
        <w:rPr>
          <w:rFonts w:hint="eastAsia"/>
          <w:color w:val="auto"/>
          <w:sz w:val="32"/>
          <w:szCs w:val="32"/>
          <w:lang w:val="en-US" w:eastAsia="zh-CN"/>
        </w:rPr>
        <w:t>暂定为《国家基本医疗保险、工伤保险和生育保险药品目录（2020年）》协议期内谈判药品及门诊慢特病患者确需在院外购买的药品（需开具医疗机构外购处方），待省级目录发布后及时进行调整。</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黑体" w:cs="Times New Roman"/>
          <w:color w:val="auto"/>
          <w:sz w:val="32"/>
          <w:lang w:val="en-US" w:eastAsia="zh-CN"/>
        </w:rPr>
      </w:pPr>
      <w:r>
        <w:rPr>
          <w:rFonts w:hint="eastAsia" w:ascii="Times New Roman" w:hAnsi="Times New Roman" w:eastAsia="黑体" w:cs="Times New Roman"/>
          <w:color w:val="auto"/>
          <w:sz w:val="32"/>
        </w:rPr>
        <w:t>四、</w:t>
      </w:r>
      <w:r>
        <w:rPr>
          <w:rFonts w:hint="eastAsia" w:eastAsia="黑体" w:cs="Times New Roman"/>
          <w:color w:val="auto"/>
          <w:sz w:val="32"/>
          <w:lang w:val="en-US" w:eastAsia="zh-CN"/>
        </w:rPr>
        <w:t>遴选条件</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仿宋_GB2312" w:cs="Times New Roman"/>
          <w:color w:val="auto"/>
          <w:sz w:val="32"/>
        </w:rPr>
      </w:pPr>
      <w:r>
        <w:rPr>
          <w:rFonts w:hint="eastAsia" w:ascii="Times New Roman" w:hAnsi="Times New Roman" w:eastAsia="仿宋_GB2312" w:cs="Times New Roman"/>
          <w:color w:val="auto"/>
          <w:sz w:val="32"/>
        </w:rPr>
        <w:t>1</w:t>
      </w:r>
      <w:r>
        <w:rPr>
          <w:rFonts w:hint="eastAsia" w:ascii="Times New Roman" w:hAnsi="Times New Roman" w:eastAsia="仿宋_GB2312" w:cs="Times New Roman"/>
          <w:color w:val="auto"/>
          <w:sz w:val="32"/>
          <w:lang w:eastAsia="zh-CN"/>
        </w:rPr>
        <w:t>、</w:t>
      </w:r>
      <w:r>
        <w:rPr>
          <w:rFonts w:hint="eastAsia" w:ascii="Times New Roman" w:hAnsi="Times New Roman" w:eastAsia="仿宋_GB2312" w:cs="Times New Roman"/>
          <w:color w:val="auto"/>
          <w:sz w:val="32"/>
        </w:rPr>
        <w:t>系</w:t>
      </w:r>
      <w:r>
        <w:rPr>
          <w:rFonts w:hint="eastAsia" w:ascii="Times New Roman" w:hAnsi="Times New Roman" w:eastAsia="仿宋_GB2312" w:cs="Times New Roman"/>
          <w:color w:val="auto"/>
          <w:sz w:val="32"/>
          <w:lang w:eastAsia="zh-CN"/>
        </w:rPr>
        <w:t>我市</w:t>
      </w:r>
      <w:r>
        <w:rPr>
          <w:rFonts w:hint="eastAsia" w:ascii="Times New Roman" w:hAnsi="Times New Roman" w:eastAsia="仿宋_GB2312" w:cs="Times New Roman"/>
          <w:color w:val="auto"/>
          <w:sz w:val="32"/>
        </w:rPr>
        <w:t>医保定点零售药店，20</w:t>
      </w:r>
      <w:r>
        <w:rPr>
          <w:rFonts w:hint="eastAsia" w:ascii="Times New Roman" w:hAnsi="Times New Roman" w:eastAsia="仿宋_GB2312" w:cs="Times New Roman"/>
          <w:color w:val="auto"/>
          <w:sz w:val="32"/>
          <w:lang w:val="en-US" w:eastAsia="zh-CN"/>
        </w:rPr>
        <w:t>20</w:t>
      </w:r>
      <w:r>
        <w:rPr>
          <w:rFonts w:hint="eastAsia" w:ascii="Times New Roman" w:hAnsi="Times New Roman" w:eastAsia="仿宋_GB2312" w:cs="Times New Roman"/>
          <w:color w:val="auto"/>
          <w:sz w:val="32"/>
        </w:rPr>
        <w:t>年</w:t>
      </w:r>
      <w:r>
        <w:rPr>
          <w:rFonts w:hint="eastAsia" w:cs="Times New Roman"/>
          <w:color w:val="auto"/>
          <w:sz w:val="32"/>
          <w:lang w:val="en-US" w:eastAsia="zh-CN"/>
        </w:rPr>
        <w:t>8</w:t>
      </w:r>
      <w:r>
        <w:rPr>
          <w:rFonts w:hint="eastAsia" w:ascii="Times New Roman" w:hAnsi="Times New Roman" w:eastAsia="仿宋_GB2312" w:cs="Times New Roman"/>
          <w:color w:val="auto"/>
          <w:sz w:val="32"/>
        </w:rPr>
        <w:t>月</w:t>
      </w:r>
      <w:r>
        <w:rPr>
          <w:rFonts w:hint="eastAsia" w:cs="Times New Roman"/>
          <w:color w:val="auto"/>
          <w:sz w:val="32"/>
          <w:lang w:val="en-US" w:eastAsia="zh-CN"/>
        </w:rPr>
        <w:t>1</w:t>
      </w:r>
      <w:r>
        <w:rPr>
          <w:rFonts w:hint="eastAsia" w:ascii="Times New Roman" w:hAnsi="Times New Roman" w:eastAsia="仿宋_GB2312" w:cs="Times New Roman"/>
          <w:color w:val="auto"/>
          <w:sz w:val="32"/>
        </w:rPr>
        <w:t>日以来没有医保违规行为</w:t>
      </w:r>
      <w:r>
        <w:rPr>
          <w:rFonts w:hint="eastAsia" w:ascii="Times New Roman" w:hAnsi="Times New Roman" w:eastAsia="仿宋_GB2312" w:cs="Times New Roman"/>
          <w:color w:val="auto"/>
          <w:sz w:val="32"/>
          <w:lang w:eastAsia="zh-CN"/>
        </w:rPr>
        <w:t>，</w:t>
      </w:r>
      <w:r>
        <w:rPr>
          <w:rFonts w:hint="eastAsia" w:ascii="Times New Roman" w:hAnsi="Times New Roman" w:eastAsia="仿宋_GB2312" w:cs="Times New Roman"/>
          <w:color w:val="auto"/>
          <w:sz w:val="32"/>
        </w:rPr>
        <w:t>未受到医保、市场监管等</w:t>
      </w:r>
      <w:r>
        <w:rPr>
          <w:rFonts w:hint="eastAsia" w:cs="Times New Roman"/>
          <w:color w:val="auto"/>
          <w:sz w:val="32"/>
          <w:lang w:eastAsia="zh-CN"/>
        </w:rPr>
        <w:t>相关</w:t>
      </w:r>
      <w:r>
        <w:rPr>
          <w:rFonts w:hint="eastAsia" w:ascii="Times New Roman" w:hAnsi="Times New Roman" w:eastAsia="仿宋_GB2312" w:cs="Times New Roman"/>
          <w:color w:val="auto"/>
          <w:sz w:val="32"/>
        </w:rPr>
        <w:t>部门处罚。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color w:val="auto"/>
          <w:sz w:val="32"/>
          <w:highlight w:val="none"/>
          <w:lang w:val="en-US" w:eastAsia="zh-CN"/>
        </w:rPr>
      </w:pPr>
      <w:r>
        <w:rPr>
          <w:rFonts w:hint="eastAsia" w:cs="Times New Roman"/>
          <w:color w:val="auto"/>
          <w:sz w:val="32"/>
          <w:highlight w:val="none"/>
          <w:lang w:val="en-US" w:eastAsia="zh-CN"/>
        </w:rPr>
        <w:t>2</w:t>
      </w:r>
      <w:r>
        <w:rPr>
          <w:rFonts w:hint="eastAsia" w:ascii="Times New Roman" w:hAnsi="Times New Roman" w:eastAsia="仿宋_GB2312" w:cs="Times New Roman"/>
          <w:color w:val="auto"/>
          <w:sz w:val="32"/>
          <w:highlight w:val="none"/>
          <w:lang w:eastAsia="zh-CN"/>
        </w:rPr>
        <w:t>、</w:t>
      </w:r>
      <w:r>
        <w:rPr>
          <w:rFonts w:hint="eastAsia" w:cs="Times New Roman"/>
          <w:color w:val="auto"/>
          <w:sz w:val="32"/>
          <w:highlight w:val="none"/>
          <w:lang w:eastAsia="zh-CN"/>
        </w:rPr>
        <w:t>具</w:t>
      </w:r>
      <w:r>
        <w:rPr>
          <w:rFonts w:hint="eastAsia" w:ascii="Times New Roman" w:hAnsi="Times New Roman" w:eastAsia="仿宋_GB2312" w:cs="Times New Roman"/>
          <w:color w:val="auto"/>
          <w:sz w:val="32"/>
          <w:highlight w:val="none"/>
        </w:rPr>
        <w:t>有2</w:t>
      </w:r>
      <w:r>
        <w:rPr>
          <w:rFonts w:hint="eastAsia" w:ascii="Times New Roman" w:hAnsi="Times New Roman" w:eastAsia="仿宋_GB2312" w:cs="Times New Roman"/>
          <w:color w:val="auto"/>
          <w:sz w:val="32"/>
          <w:highlight w:val="none"/>
          <w:lang w:val="en-US" w:eastAsia="zh-CN"/>
        </w:rPr>
        <w:t>名</w:t>
      </w:r>
      <w:r>
        <w:rPr>
          <w:rFonts w:hint="eastAsia" w:ascii="Times New Roman" w:hAnsi="Times New Roman" w:eastAsia="仿宋_GB2312" w:cs="Times New Roman"/>
          <w:color w:val="auto"/>
          <w:sz w:val="32"/>
          <w:highlight w:val="none"/>
        </w:rPr>
        <w:t>以上执业药师，并在2</w:t>
      </w:r>
      <w:r>
        <w:rPr>
          <w:rFonts w:ascii="Times New Roman" w:hAnsi="Times New Roman" w:eastAsia="仿宋_GB2312" w:cs="Times New Roman"/>
          <w:color w:val="auto"/>
          <w:sz w:val="32"/>
          <w:highlight w:val="none"/>
        </w:rPr>
        <w:t>02</w:t>
      </w:r>
      <w:r>
        <w:rPr>
          <w:rFonts w:hint="eastAsia" w:ascii="Times New Roman" w:hAnsi="Times New Roman" w:eastAsia="仿宋_GB2312" w:cs="Times New Roman"/>
          <w:color w:val="auto"/>
          <w:sz w:val="32"/>
          <w:highlight w:val="none"/>
          <w:lang w:val="en-US" w:eastAsia="zh-CN"/>
        </w:rPr>
        <w:t>1</w:t>
      </w:r>
      <w:r>
        <w:rPr>
          <w:rFonts w:ascii="Times New Roman" w:hAnsi="Times New Roman" w:eastAsia="仿宋_GB2312" w:cs="Times New Roman"/>
          <w:color w:val="auto"/>
          <w:sz w:val="32"/>
          <w:highlight w:val="none"/>
        </w:rPr>
        <w:t>年</w:t>
      </w:r>
      <w:r>
        <w:rPr>
          <w:rFonts w:hint="eastAsia" w:cs="Times New Roman"/>
          <w:color w:val="auto"/>
          <w:sz w:val="32"/>
          <w:highlight w:val="none"/>
          <w:lang w:val="en-US" w:eastAsia="zh-CN"/>
        </w:rPr>
        <w:t>8</w:t>
      </w:r>
      <w:r>
        <w:rPr>
          <w:rFonts w:hint="eastAsia" w:ascii="Times New Roman" w:hAnsi="Times New Roman" w:eastAsia="仿宋_GB2312" w:cs="Times New Roman"/>
          <w:color w:val="auto"/>
          <w:sz w:val="32"/>
          <w:highlight w:val="none"/>
        </w:rPr>
        <w:t>月</w:t>
      </w:r>
      <w:r>
        <w:rPr>
          <w:rFonts w:hint="eastAsia" w:cs="Times New Roman"/>
          <w:color w:val="auto"/>
          <w:sz w:val="32"/>
          <w:highlight w:val="none"/>
          <w:lang w:val="en-US" w:eastAsia="zh-CN"/>
        </w:rPr>
        <w:t>20</w:t>
      </w:r>
      <w:r>
        <w:rPr>
          <w:rFonts w:ascii="Times New Roman" w:hAnsi="Times New Roman" w:eastAsia="仿宋_GB2312" w:cs="Times New Roman"/>
          <w:color w:val="auto"/>
          <w:sz w:val="32"/>
          <w:highlight w:val="none"/>
        </w:rPr>
        <w:t>日前在申请药店完成注册</w:t>
      </w:r>
      <w:r>
        <w:rPr>
          <w:rFonts w:hint="eastAsia" w:cs="Times New Roman"/>
          <w:color w:val="auto"/>
          <w:sz w:val="32"/>
          <w:highlight w:val="none"/>
          <w:lang w:val="en-US" w:eastAsia="zh-CN"/>
        </w:rPr>
        <w:t>（可含</w:t>
      </w:r>
      <w:r>
        <w:rPr>
          <w:rFonts w:hint="eastAsia" w:ascii="Times New Roman" w:hAnsi="Times New Roman" w:eastAsia="仿宋_GB2312" w:cs="Times New Roman"/>
          <w:color w:val="auto"/>
          <w:sz w:val="32"/>
          <w:highlight w:val="none"/>
        </w:rPr>
        <w:t>2</w:t>
      </w:r>
      <w:r>
        <w:rPr>
          <w:rFonts w:ascii="Times New Roman" w:hAnsi="Times New Roman" w:eastAsia="仿宋_GB2312" w:cs="Times New Roman"/>
          <w:color w:val="auto"/>
          <w:sz w:val="32"/>
          <w:highlight w:val="none"/>
        </w:rPr>
        <w:t>02</w:t>
      </w:r>
      <w:r>
        <w:rPr>
          <w:rFonts w:hint="eastAsia" w:ascii="Times New Roman" w:hAnsi="Times New Roman" w:eastAsia="仿宋_GB2312" w:cs="Times New Roman"/>
          <w:color w:val="auto"/>
          <w:sz w:val="32"/>
          <w:highlight w:val="none"/>
          <w:lang w:val="en-US" w:eastAsia="zh-CN"/>
        </w:rPr>
        <w:t>1</w:t>
      </w:r>
      <w:r>
        <w:rPr>
          <w:rFonts w:ascii="Times New Roman" w:hAnsi="Times New Roman" w:eastAsia="仿宋_GB2312" w:cs="Times New Roman"/>
          <w:color w:val="auto"/>
          <w:sz w:val="32"/>
          <w:highlight w:val="none"/>
        </w:rPr>
        <w:t>年</w:t>
      </w:r>
      <w:r>
        <w:rPr>
          <w:rFonts w:hint="eastAsia" w:cs="Times New Roman"/>
          <w:color w:val="auto"/>
          <w:sz w:val="32"/>
          <w:highlight w:val="none"/>
          <w:lang w:val="en-US" w:eastAsia="zh-CN"/>
        </w:rPr>
        <w:t>8</w:t>
      </w:r>
      <w:r>
        <w:rPr>
          <w:rFonts w:hint="eastAsia" w:ascii="Times New Roman" w:hAnsi="Times New Roman" w:eastAsia="仿宋_GB2312" w:cs="Times New Roman"/>
          <w:color w:val="auto"/>
          <w:sz w:val="32"/>
          <w:highlight w:val="none"/>
        </w:rPr>
        <w:t>月</w:t>
      </w:r>
      <w:r>
        <w:rPr>
          <w:rFonts w:hint="eastAsia" w:cs="Times New Roman"/>
          <w:color w:val="auto"/>
          <w:sz w:val="32"/>
          <w:highlight w:val="none"/>
          <w:lang w:val="en-US" w:eastAsia="zh-CN"/>
        </w:rPr>
        <w:t>20</w:t>
      </w:r>
      <w:r>
        <w:rPr>
          <w:rFonts w:ascii="Times New Roman" w:hAnsi="Times New Roman" w:eastAsia="仿宋_GB2312" w:cs="Times New Roman"/>
          <w:color w:val="auto"/>
          <w:sz w:val="32"/>
          <w:highlight w:val="none"/>
        </w:rPr>
        <w:t>日前</w:t>
      </w:r>
      <w:r>
        <w:rPr>
          <w:rFonts w:hint="eastAsia" w:cs="Times New Roman"/>
          <w:color w:val="auto"/>
          <w:sz w:val="32"/>
          <w:highlight w:val="none"/>
          <w:lang w:val="en-US" w:eastAsia="zh-CN"/>
        </w:rPr>
        <w:t>由连锁公司派遣到该申请药店工作的执业药师）。</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cs="Times New Roman"/>
          <w:color w:val="auto"/>
          <w:sz w:val="32"/>
          <w:lang w:val="en-US" w:eastAsia="zh-CN"/>
        </w:rPr>
        <w:t>3</w:t>
      </w:r>
      <w:r>
        <w:rPr>
          <w:rFonts w:hint="eastAsia" w:ascii="Times New Roman" w:hAnsi="Times New Roman" w:eastAsia="仿宋_GB2312" w:cs="Times New Roman"/>
          <w:color w:val="auto"/>
          <w:sz w:val="32"/>
          <w:lang w:eastAsia="zh-CN"/>
        </w:rPr>
        <w:t>、</w:t>
      </w:r>
      <w:r>
        <w:rPr>
          <w:rFonts w:hint="eastAsia" w:ascii="Times New Roman" w:hAnsi="Times New Roman" w:eastAsia="仿宋_GB2312" w:cs="Times New Roman"/>
          <w:color w:val="auto"/>
          <w:sz w:val="32"/>
        </w:rPr>
        <w:t>具备完善的内部管理制度，包括财务管理制度、药品进销存制度、配送管理制度、患者服务流程及慈善赠药服务管理办法。门店内部相关岗位设置齐全。为参保人员购药单独建账、处方分类装订保存。</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cs="Times New Roman"/>
          <w:color w:val="auto"/>
          <w:sz w:val="32"/>
          <w:lang w:val="en-US" w:eastAsia="zh-CN"/>
        </w:rPr>
        <w:t>4</w:t>
      </w:r>
      <w:r>
        <w:rPr>
          <w:rFonts w:hint="eastAsia" w:ascii="Times New Roman" w:hAnsi="Times New Roman" w:eastAsia="仿宋_GB2312" w:cs="Times New Roman"/>
          <w:color w:val="auto"/>
          <w:sz w:val="32"/>
          <w:lang w:eastAsia="zh-CN"/>
        </w:rPr>
        <w:t>、</w:t>
      </w:r>
      <w:r>
        <w:rPr>
          <w:rFonts w:hint="eastAsia" w:ascii="Times New Roman" w:hAnsi="Times New Roman" w:eastAsia="仿宋_GB2312" w:cs="Times New Roman"/>
          <w:color w:val="auto"/>
          <w:sz w:val="32"/>
        </w:rPr>
        <w:t>具备药店至患者侧的配送管理能力，具有为患者提供用药提醒、用药指导和随访跟踪等服务管理能力，建有相应的信息化管理系统者优先。</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cs="Times New Roman"/>
          <w:color w:val="auto"/>
          <w:sz w:val="32"/>
          <w:lang w:val="en-US" w:eastAsia="zh-CN"/>
        </w:rPr>
        <w:t>5</w:t>
      </w:r>
      <w:r>
        <w:rPr>
          <w:rFonts w:hint="eastAsia" w:ascii="Times New Roman" w:hAnsi="Times New Roman" w:eastAsia="仿宋_GB2312" w:cs="Times New Roman"/>
          <w:color w:val="auto"/>
          <w:sz w:val="32"/>
          <w:lang w:eastAsia="zh-CN"/>
        </w:rPr>
        <w:t>、</w:t>
      </w:r>
      <w:r>
        <w:rPr>
          <w:rFonts w:hint="eastAsia" w:ascii="Times New Roman" w:hAnsi="Times New Roman" w:eastAsia="仿宋_GB2312" w:cs="Times New Roman"/>
          <w:color w:val="auto"/>
          <w:sz w:val="32"/>
        </w:rPr>
        <w:t>经营冷链药品的，应具备经GSP冷链认证的专业冷藏室（库）或冷藏柜，配备专用应急电源和温湿度监控设备，制定冷链储存应急预案、冷链药品配送操作规程及冷链配送服务能力。</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color w:val="auto"/>
          <w:sz w:val="32"/>
          <w:lang w:val="en-US" w:eastAsia="zh-CN"/>
        </w:rPr>
      </w:pPr>
      <w:bookmarkStart w:id="0" w:name="_Hlk43367373"/>
      <w:r>
        <w:rPr>
          <w:rFonts w:hint="eastAsia" w:cs="Times New Roman"/>
          <w:color w:val="auto"/>
          <w:sz w:val="32"/>
          <w:lang w:val="en-US" w:eastAsia="zh-CN"/>
        </w:rPr>
        <w:t>6</w:t>
      </w:r>
      <w:r>
        <w:rPr>
          <w:rFonts w:hint="eastAsia" w:ascii="Times New Roman" w:hAnsi="Times New Roman" w:eastAsia="仿宋_GB2312" w:cs="Times New Roman"/>
          <w:color w:val="auto"/>
          <w:sz w:val="32"/>
          <w:lang w:eastAsia="zh-CN"/>
        </w:rPr>
        <w:t>、申请药店同一平面经营面积</w:t>
      </w:r>
      <w:r>
        <w:rPr>
          <w:rFonts w:hint="eastAsia" w:cs="Times New Roman"/>
          <w:color w:val="auto"/>
          <w:sz w:val="32"/>
          <w:lang w:val="en-US" w:eastAsia="zh-CN"/>
        </w:rPr>
        <w:t>不得低于100平米，经营场所环境优越者可适当加分。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cs="Times New Roman"/>
          <w:color w:val="auto"/>
          <w:sz w:val="32"/>
          <w:lang w:val="en-US" w:eastAsia="zh-CN"/>
        </w:rPr>
        <w:t>7、</w:t>
      </w:r>
      <w:r>
        <w:rPr>
          <w:rFonts w:hint="eastAsia" w:ascii="Times New Roman" w:hAnsi="Times New Roman" w:eastAsia="仿宋_GB2312" w:cs="Times New Roman"/>
          <w:color w:val="auto"/>
          <w:sz w:val="32"/>
        </w:rPr>
        <w:t>截至</w:t>
      </w:r>
      <w:bookmarkEnd w:id="0"/>
      <w:r>
        <w:rPr>
          <w:rFonts w:hint="eastAsia" w:ascii="Times New Roman" w:hAnsi="Times New Roman" w:eastAsia="仿宋_GB2312" w:cs="Times New Roman"/>
          <w:color w:val="auto"/>
          <w:sz w:val="32"/>
        </w:rPr>
        <w:t>20</w:t>
      </w:r>
      <w:r>
        <w:rPr>
          <w:rFonts w:hint="eastAsia" w:ascii="Times New Roman" w:hAnsi="Times New Roman" w:eastAsia="仿宋_GB2312" w:cs="Times New Roman"/>
          <w:color w:val="auto"/>
          <w:sz w:val="32"/>
          <w:lang w:val="en-US" w:eastAsia="zh-CN"/>
        </w:rPr>
        <w:t>2</w:t>
      </w:r>
      <w:r>
        <w:rPr>
          <w:rFonts w:hint="eastAsia" w:cs="Times New Roman"/>
          <w:color w:val="auto"/>
          <w:sz w:val="32"/>
          <w:lang w:val="en-US" w:eastAsia="zh-CN"/>
        </w:rPr>
        <w:t>1</w:t>
      </w:r>
      <w:r>
        <w:rPr>
          <w:rFonts w:hint="eastAsia" w:ascii="Times New Roman" w:hAnsi="Times New Roman" w:eastAsia="仿宋_GB2312" w:cs="Times New Roman"/>
          <w:color w:val="auto"/>
          <w:sz w:val="32"/>
        </w:rPr>
        <w:t>年</w:t>
      </w:r>
      <w:r>
        <w:rPr>
          <w:rFonts w:hint="eastAsia" w:cs="Times New Roman"/>
          <w:color w:val="auto"/>
          <w:sz w:val="32"/>
          <w:lang w:val="en-US" w:eastAsia="zh-CN"/>
        </w:rPr>
        <w:t>8</w:t>
      </w:r>
      <w:r>
        <w:rPr>
          <w:rFonts w:hint="eastAsia" w:ascii="Times New Roman" w:hAnsi="Times New Roman" w:eastAsia="仿宋_GB2312" w:cs="Times New Roman"/>
          <w:color w:val="auto"/>
          <w:sz w:val="32"/>
        </w:rPr>
        <w:t>月</w:t>
      </w:r>
      <w:r>
        <w:rPr>
          <w:rFonts w:hint="eastAsia" w:cs="Times New Roman"/>
          <w:color w:val="auto"/>
          <w:sz w:val="32"/>
          <w:lang w:val="en-US" w:eastAsia="zh-CN"/>
        </w:rPr>
        <w:t>20</w:t>
      </w:r>
      <w:r>
        <w:rPr>
          <w:rFonts w:hint="eastAsia" w:ascii="Times New Roman" w:hAnsi="Times New Roman" w:eastAsia="仿宋_GB2312" w:cs="Times New Roman"/>
          <w:color w:val="auto"/>
          <w:sz w:val="32"/>
        </w:rPr>
        <w:t>日</w:t>
      </w:r>
      <w:r>
        <w:rPr>
          <w:rFonts w:hint="eastAsia" w:cs="Times New Roman"/>
          <w:color w:val="auto"/>
          <w:sz w:val="32"/>
          <w:lang w:val="en-US" w:eastAsia="zh-CN"/>
        </w:rPr>
        <w:t>已开展</w:t>
      </w:r>
      <w:r>
        <w:rPr>
          <w:rFonts w:hint="eastAsia" w:ascii="Times New Roman" w:hAnsi="Times New Roman" w:eastAsia="仿宋_GB2312" w:cs="Times New Roman"/>
          <w:color w:val="auto"/>
          <w:sz w:val="32"/>
          <w:lang w:eastAsia="zh-CN"/>
        </w:rPr>
        <w:t>国家医保谈判药品</w:t>
      </w:r>
      <w:r>
        <w:rPr>
          <w:rFonts w:hint="eastAsia" w:cs="Times New Roman"/>
          <w:color w:val="auto"/>
          <w:sz w:val="32"/>
          <w:lang w:val="en-US" w:eastAsia="zh-CN"/>
        </w:rPr>
        <w:t>销售的定点零售药店可适当加分</w:t>
      </w:r>
      <w:r>
        <w:rPr>
          <w:rFonts w:hint="eastAsia" w:ascii="Times New Roman" w:hAnsi="Times New Roman" w:eastAsia="仿宋_GB2312" w:cs="Times New Roman"/>
          <w:color w:val="auto"/>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黑体" w:cs="Times New Roman"/>
          <w:color w:val="auto"/>
          <w:sz w:val="32"/>
        </w:rPr>
      </w:pPr>
      <w:r>
        <w:rPr>
          <w:rFonts w:hint="eastAsia" w:ascii="Times New Roman" w:hAnsi="Times New Roman" w:eastAsia="黑体" w:cs="Times New Roman"/>
          <w:color w:val="auto"/>
          <w:sz w:val="32"/>
        </w:rPr>
        <w:t>五、实施步骤</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cs="Times New Roman"/>
          <w:color w:val="auto"/>
          <w:sz w:val="32"/>
          <w:lang w:eastAsia="zh-CN"/>
        </w:rPr>
      </w:pPr>
      <w:r>
        <w:rPr>
          <w:rFonts w:hint="eastAsia" w:ascii="Times New Roman" w:hAnsi="Times New Roman" w:eastAsia="楷体_GB2312" w:cs="Times New Roman"/>
          <w:color w:val="auto"/>
          <w:sz w:val="32"/>
        </w:rPr>
        <w:t>（一）申请。</w:t>
      </w:r>
      <w:r>
        <w:rPr>
          <w:rFonts w:hint="eastAsia" w:ascii="Times New Roman" w:hAnsi="Times New Roman" w:eastAsia="仿宋_GB2312" w:cs="Times New Roman"/>
          <w:color w:val="auto"/>
          <w:sz w:val="32"/>
          <w:lang w:eastAsia="zh-CN"/>
        </w:rPr>
        <w:t>我市</w:t>
      </w:r>
      <w:r>
        <w:rPr>
          <w:rFonts w:hint="eastAsia" w:cs="Times New Roman"/>
          <w:color w:val="auto"/>
          <w:sz w:val="32"/>
          <w:lang w:val="en-US" w:eastAsia="zh-CN"/>
        </w:rPr>
        <w:t>医保</w:t>
      </w:r>
      <w:r>
        <w:rPr>
          <w:rFonts w:hint="eastAsia" w:ascii="Times New Roman" w:hAnsi="Times New Roman" w:eastAsia="仿宋_GB2312" w:cs="Times New Roman"/>
          <w:color w:val="auto"/>
          <w:sz w:val="32"/>
          <w:lang w:val="en-US" w:eastAsia="zh-CN"/>
        </w:rPr>
        <w:t>定点</w:t>
      </w:r>
      <w:r>
        <w:rPr>
          <w:rFonts w:hint="eastAsia" w:ascii="Times New Roman" w:hAnsi="Times New Roman" w:eastAsia="仿宋_GB2312" w:cs="Times New Roman"/>
          <w:color w:val="auto"/>
          <w:sz w:val="32"/>
        </w:rPr>
        <w:t>零售药店均可</w:t>
      </w:r>
      <w:r>
        <w:rPr>
          <w:rFonts w:hint="eastAsia" w:cs="Times New Roman"/>
          <w:color w:val="auto"/>
          <w:sz w:val="32"/>
          <w:lang w:val="en-US" w:eastAsia="zh-CN"/>
        </w:rPr>
        <w:t>对照标准</w:t>
      </w:r>
      <w:r>
        <w:rPr>
          <w:rFonts w:hint="eastAsia" w:cs="Times New Roman"/>
          <w:color w:val="auto"/>
          <w:sz w:val="32"/>
          <w:lang w:eastAsia="zh-CN"/>
        </w:rPr>
        <w:t>自愿</w:t>
      </w:r>
      <w:r>
        <w:rPr>
          <w:rFonts w:hint="eastAsia" w:ascii="Times New Roman" w:hAnsi="Times New Roman" w:eastAsia="仿宋_GB2312" w:cs="Times New Roman"/>
          <w:color w:val="auto"/>
          <w:sz w:val="32"/>
        </w:rPr>
        <w:t>提出申请。</w:t>
      </w:r>
      <w:r>
        <w:rPr>
          <w:rFonts w:hint="eastAsia"/>
          <w:color w:val="auto"/>
          <w:lang w:eastAsia="zh-CN"/>
        </w:rPr>
        <w:t>市本级范围内</w:t>
      </w:r>
      <w:r>
        <w:rPr>
          <w:rFonts w:hint="eastAsia"/>
          <w:color w:val="auto"/>
        </w:rPr>
        <w:t>申请药店</w:t>
      </w:r>
      <w:r>
        <w:rPr>
          <w:rFonts w:hint="eastAsia"/>
          <w:color w:val="auto"/>
          <w:lang w:eastAsia="zh-CN"/>
        </w:rPr>
        <w:t>请</w:t>
      </w:r>
      <w:r>
        <w:rPr>
          <w:rFonts w:hint="eastAsia"/>
          <w:color w:val="auto"/>
        </w:rPr>
        <w:t>于202</w:t>
      </w:r>
      <w:r>
        <w:rPr>
          <w:rFonts w:hint="eastAsia"/>
          <w:color w:val="auto"/>
          <w:lang w:val="en-US" w:eastAsia="zh-CN"/>
        </w:rPr>
        <w:t>1</w:t>
      </w:r>
      <w:r>
        <w:rPr>
          <w:rFonts w:hint="eastAsia"/>
          <w:color w:val="auto"/>
        </w:rPr>
        <w:t>年</w:t>
      </w:r>
      <w:r>
        <w:rPr>
          <w:rFonts w:hint="eastAsia"/>
          <w:color w:val="auto"/>
          <w:lang w:val="en-US" w:eastAsia="zh-CN"/>
        </w:rPr>
        <w:t>8</w:t>
      </w:r>
      <w:r>
        <w:rPr>
          <w:rFonts w:hint="eastAsia"/>
          <w:color w:val="auto"/>
        </w:rPr>
        <w:t>月</w:t>
      </w:r>
      <w:r>
        <w:rPr>
          <w:rFonts w:hint="eastAsia"/>
          <w:color w:val="auto"/>
          <w:lang w:val="en-US" w:eastAsia="zh-CN"/>
        </w:rPr>
        <w:t>31</w:t>
      </w:r>
      <w:r>
        <w:rPr>
          <w:rFonts w:hint="eastAsia"/>
          <w:color w:val="auto"/>
        </w:rPr>
        <w:t>日前</w:t>
      </w:r>
      <w:r>
        <w:rPr>
          <w:rFonts w:hint="eastAsia"/>
          <w:color w:val="auto"/>
          <w:lang w:eastAsia="zh-CN"/>
        </w:rPr>
        <w:t>将申请表和送审材料装订成册（一式五份）</w:t>
      </w:r>
      <w:r>
        <w:rPr>
          <w:rFonts w:hint="eastAsia"/>
          <w:color w:val="auto"/>
        </w:rPr>
        <w:t>报送至</w:t>
      </w:r>
      <w:r>
        <w:rPr>
          <w:rFonts w:hint="eastAsia"/>
          <w:color w:val="auto"/>
          <w:lang w:eastAsia="zh-CN"/>
        </w:rPr>
        <w:t>市医保局待遇保障科。</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楷体_GB2312" w:cs="Times New Roman"/>
          <w:color w:val="auto"/>
          <w:sz w:val="32"/>
        </w:rPr>
        <w:t>（二）评审。</w:t>
      </w:r>
      <w:r>
        <w:rPr>
          <w:rFonts w:hint="eastAsia" w:ascii="Times New Roman" w:hAnsi="Times New Roman" w:eastAsia="仿宋_GB2312" w:cs="Times New Roman"/>
          <w:color w:val="auto"/>
          <w:sz w:val="32"/>
        </w:rPr>
        <w:t>市医保局</w:t>
      </w:r>
      <w:r>
        <w:rPr>
          <w:rFonts w:hint="eastAsia" w:ascii="Times New Roman" w:hAnsi="Times New Roman" w:eastAsia="仿宋_GB2312" w:cs="Times New Roman"/>
          <w:color w:val="auto"/>
          <w:sz w:val="32"/>
          <w:lang w:val="en-US" w:eastAsia="zh-CN"/>
        </w:rPr>
        <w:t>将</w:t>
      </w:r>
      <w:r>
        <w:rPr>
          <w:rFonts w:hint="eastAsia" w:ascii="Times New Roman" w:hAnsi="Times New Roman" w:eastAsia="仿宋_GB2312" w:cs="Times New Roman"/>
          <w:color w:val="auto"/>
          <w:sz w:val="32"/>
        </w:rPr>
        <w:t>组织专家对</w:t>
      </w:r>
      <w:r>
        <w:rPr>
          <w:rFonts w:hint="eastAsia"/>
          <w:color w:val="auto"/>
          <w:sz w:val="32"/>
          <w:szCs w:val="32"/>
        </w:rPr>
        <w:t>市</w:t>
      </w:r>
      <w:r>
        <w:rPr>
          <w:rFonts w:hint="eastAsia"/>
          <w:color w:val="auto"/>
          <w:sz w:val="32"/>
          <w:szCs w:val="32"/>
          <w:lang w:eastAsia="zh-CN"/>
        </w:rPr>
        <w:t>本级</w:t>
      </w:r>
      <w:r>
        <w:rPr>
          <w:rFonts w:hint="eastAsia" w:ascii="Times New Roman" w:hAnsi="Times New Roman" w:eastAsia="仿宋_GB2312" w:cs="Times New Roman"/>
          <w:color w:val="auto"/>
          <w:sz w:val="32"/>
        </w:rPr>
        <w:t>申请药店进行评审，评审专家由临床专家、执业药师、人大代表、政协委员</w:t>
      </w:r>
      <w:r>
        <w:rPr>
          <w:rFonts w:hint="eastAsia" w:ascii="Times New Roman" w:hAnsi="Times New Roman" w:eastAsia="仿宋_GB2312" w:cs="Times New Roman"/>
          <w:color w:val="auto"/>
          <w:sz w:val="32"/>
          <w:lang w:val="en-US" w:eastAsia="zh-CN"/>
        </w:rPr>
        <w:t>和医保</w:t>
      </w:r>
      <w:r>
        <w:rPr>
          <w:rFonts w:hint="eastAsia" w:cs="Times New Roman"/>
          <w:color w:val="auto"/>
          <w:sz w:val="32"/>
          <w:lang w:val="en-US" w:eastAsia="zh-CN"/>
        </w:rPr>
        <w:t>工作</w:t>
      </w:r>
      <w:r>
        <w:rPr>
          <w:rFonts w:hint="eastAsia" w:ascii="Times New Roman" w:hAnsi="Times New Roman" w:eastAsia="仿宋_GB2312" w:cs="Times New Roman"/>
          <w:color w:val="auto"/>
          <w:sz w:val="32"/>
        </w:rPr>
        <w:t>人员等组成。评审专家按照</w:t>
      </w:r>
      <w:r>
        <w:rPr>
          <w:rFonts w:hint="eastAsia" w:ascii="Times New Roman" w:hAnsi="Times New Roman" w:eastAsia="仿宋_GB2312"/>
          <w:color w:val="auto"/>
          <w:sz w:val="32"/>
          <w:szCs w:val="32"/>
        </w:rPr>
        <w:t>《铜陵市“双通道”管理定点零售药店评分标准》，</w:t>
      </w:r>
      <w:r>
        <w:rPr>
          <w:rFonts w:hint="eastAsia" w:cs="Times New Roman"/>
          <w:color w:val="auto"/>
          <w:sz w:val="32"/>
          <w:lang w:eastAsia="zh-CN"/>
        </w:rPr>
        <w:t>根据</w:t>
      </w:r>
      <w:r>
        <w:rPr>
          <w:rFonts w:hint="eastAsia" w:ascii="Times New Roman" w:hAnsi="Times New Roman" w:eastAsia="仿宋_GB2312" w:cs="Times New Roman"/>
          <w:color w:val="auto"/>
          <w:sz w:val="32"/>
        </w:rPr>
        <w:t>客观公正、实事求是的原则，对</w:t>
      </w:r>
      <w:r>
        <w:rPr>
          <w:rFonts w:hint="eastAsia" w:cs="Times New Roman"/>
          <w:color w:val="auto"/>
          <w:sz w:val="32"/>
          <w:lang w:eastAsia="zh-CN"/>
        </w:rPr>
        <w:t>申请</w:t>
      </w:r>
      <w:r>
        <w:rPr>
          <w:rFonts w:hint="eastAsia" w:ascii="Times New Roman" w:hAnsi="Times New Roman" w:eastAsia="仿宋_GB2312" w:cs="Times New Roman"/>
          <w:color w:val="auto"/>
          <w:sz w:val="32"/>
        </w:rPr>
        <w:t>药店资格条件、经营品种、服务和管理能力的符合性及响应性进行综合评价</w:t>
      </w:r>
      <w:r>
        <w:rPr>
          <w:rFonts w:hint="eastAsia" w:cs="Times New Roman"/>
          <w:color w:val="auto"/>
          <w:sz w:val="32"/>
          <w:lang w:eastAsia="zh-CN"/>
        </w:rPr>
        <w:t>，</w:t>
      </w:r>
      <w:r>
        <w:rPr>
          <w:rFonts w:hint="eastAsia" w:ascii="Times New Roman" w:hAnsi="Times New Roman" w:eastAsia="仿宋_GB2312" w:cs="Times New Roman"/>
          <w:color w:val="auto"/>
          <w:sz w:val="32"/>
        </w:rPr>
        <w:t>逐一</w:t>
      </w:r>
      <w:r>
        <w:rPr>
          <w:rFonts w:hint="eastAsia" w:cs="Times New Roman"/>
          <w:color w:val="auto"/>
          <w:sz w:val="32"/>
          <w:lang w:eastAsia="zh-CN"/>
        </w:rPr>
        <w:t>项</w:t>
      </w:r>
      <w:r>
        <w:rPr>
          <w:rFonts w:hint="eastAsia" w:ascii="Times New Roman" w:hAnsi="Times New Roman" w:eastAsia="仿宋_GB2312" w:cs="Times New Roman"/>
          <w:color w:val="auto"/>
          <w:sz w:val="32"/>
        </w:rPr>
        <w:t>进行打分</w:t>
      </w:r>
      <w:r>
        <w:rPr>
          <w:rFonts w:hint="eastAsia" w:cs="Times New Roman"/>
          <w:color w:val="auto"/>
          <w:sz w:val="32"/>
          <w:lang w:eastAsia="zh-CN"/>
        </w:rPr>
        <w:t>并汇总总分</w:t>
      </w:r>
      <w:r>
        <w:rPr>
          <w:rFonts w:hint="eastAsia" w:ascii="Times New Roman" w:hAnsi="Times New Roman" w:eastAsia="仿宋_GB2312" w:cs="Times New Roman"/>
          <w:color w:val="auto"/>
          <w:sz w:val="32"/>
        </w:rPr>
        <w:t>。市纪委（监委）</w:t>
      </w:r>
      <w:r>
        <w:rPr>
          <w:rFonts w:hint="eastAsia" w:ascii="Times New Roman" w:hAnsi="Times New Roman" w:eastAsia="仿宋_GB2312" w:cs="Times New Roman"/>
          <w:color w:val="auto"/>
          <w:sz w:val="32"/>
          <w:lang w:val="en-US" w:eastAsia="zh-CN"/>
        </w:rPr>
        <w:t>派驻</w:t>
      </w:r>
      <w:r>
        <w:rPr>
          <w:rFonts w:hint="eastAsia" w:ascii="Times New Roman" w:hAnsi="Times New Roman" w:eastAsia="仿宋_GB2312" w:cs="Times New Roman"/>
          <w:color w:val="auto"/>
          <w:sz w:val="32"/>
        </w:rPr>
        <w:t>纪检</w:t>
      </w:r>
      <w:r>
        <w:rPr>
          <w:rFonts w:hint="eastAsia" w:cs="Times New Roman"/>
          <w:color w:val="auto"/>
          <w:sz w:val="32"/>
          <w:lang w:val="en-US" w:eastAsia="zh-CN"/>
        </w:rPr>
        <w:t>监察</w:t>
      </w:r>
      <w:r>
        <w:rPr>
          <w:rFonts w:hint="eastAsia" w:ascii="Times New Roman" w:hAnsi="Times New Roman" w:eastAsia="仿宋_GB2312" w:cs="Times New Roman"/>
          <w:color w:val="auto"/>
          <w:sz w:val="32"/>
        </w:rPr>
        <w:t>组对评审进行全程监督。评审打分结果由评审专家、纪检</w:t>
      </w:r>
      <w:r>
        <w:rPr>
          <w:rFonts w:hint="eastAsia" w:cs="Times New Roman"/>
          <w:color w:val="auto"/>
          <w:sz w:val="32"/>
          <w:lang w:val="en-US" w:eastAsia="zh-CN"/>
        </w:rPr>
        <w:t>监察</w:t>
      </w:r>
      <w:r>
        <w:rPr>
          <w:rFonts w:hint="eastAsia" w:ascii="Times New Roman" w:hAnsi="Times New Roman" w:eastAsia="仿宋_GB2312" w:cs="Times New Roman"/>
          <w:color w:val="auto"/>
          <w:sz w:val="32"/>
        </w:rPr>
        <w:t>组签字确认，并按得分高低顺序初步确定</w:t>
      </w:r>
      <w:r>
        <w:rPr>
          <w:rFonts w:hint="eastAsia" w:cs="Times New Roman"/>
          <w:color w:val="auto"/>
          <w:sz w:val="32"/>
          <w:lang w:eastAsia="zh-CN"/>
        </w:rPr>
        <w:t>入围</w:t>
      </w:r>
      <w:r>
        <w:rPr>
          <w:rFonts w:hint="eastAsia" w:ascii="Times New Roman" w:hAnsi="Times New Roman" w:eastAsia="仿宋_GB2312" w:cs="Times New Roman"/>
          <w:color w:val="auto"/>
          <w:sz w:val="32"/>
        </w:rPr>
        <w:t>药店</w:t>
      </w:r>
      <w:r>
        <w:rPr>
          <w:rFonts w:hint="eastAsia" w:cs="Times New Roman"/>
          <w:color w:val="auto"/>
          <w:sz w:val="32"/>
          <w:lang w:eastAsia="zh-CN"/>
        </w:rPr>
        <w:t>。市本级</w:t>
      </w:r>
      <w:r>
        <w:rPr>
          <w:rFonts w:hint="eastAsia" w:cs="Times New Roman"/>
          <w:color w:val="auto"/>
          <w:kern w:val="32"/>
          <w:sz w:val="32"/>
          <w:lang w:eastAsia="zh-CN"/>
        </w:rPr>
        <w:t>入围</w:t>
      </w:r>
      <w:r>
        <w:rPr>
          <w:rFonts w:hint="eastAsia" w:ascii="Times New Roman" w:hAnsi="Times New Roman" w:eastAsia="仿宋_GB2312" w:cs="Times New Roman"/>
          <w:color w:val="auto"/>
          <w:kern w:val="32"/>
          <w:sz w:val="32"/>
        </w:rPr>
        <w:t>药店</w:t>
      </w:r>
      <w:r>
        <w:rPr>
          <w:rFonts w:hint="eastAsia" w:ascii="Times New Roman" w:hAnsi="Times New Roman" w:eastAsia="仿宋_GB2312" w:cs="Times New Roman"/>
          <w:color w:val="auto"/>
          <w:sz w:val="32"/>
        </w:rPr>
        <w:t>综合评分</w:t>
      </w:r>
      <w:r>
        <w:rPr>
          <w:rFonts w:hint="eastAsia" w:cs="Times New Roman"/>
          <w:color w:val="auto"/>
          <w:sz w:val="32"/>
          <w:lang w:eastAsia="zh-CN"/>
        </w:rPr>
        <w:t>原则上</w:t>
      </w:r>
      <w:r>
        <w:rPr>
          <w:rFonts w:hint="eastAsia" w:ascii="Times New Roman" w:hAnsi="Times New Roman" w:eastAsia="仿宋_GB2312" w:cs="Times New Roman"/>
          <w:bCs/>
          <w:color w:val="auto"/>
          <w:sz w:val="32"/>
        </w:rPr>
        <w:t>不得低于</w:t>
      </w:r>
      <w:r>
        <w:rPr>
          <w:rFonts w:hint="eastAsia" w:cs="Times New Roman"/>
          <w:bCs/>
          <w:color w:val="auto"/>
          <w:sz w:val="32"/>
          <w:lang w:val="en-US" w:eastAsia="zh-CN"/>
        </w:rPr>
        <w:t>70</w:t>
      </w:r>
      <w:r>
        <w:rPr>
          <w:rFonts w:hint="eastAsia" w:ascii="Times New Roman" w:hAnsi="Times New Roman" w:eastAsia="仿宋_GB2312" w:cs="Times New Roman"/>
          <w:bCs/>
          <w:color w:val="auto"/>
          <w:sz w:val="32"/>
        </w:rPr>
        <w:t>分</w:t>
      </w:r>
      <w:r>
        <w:rPr>
          <w:rFonts w:hint="eastAsia" w:ascii="Times New Roman" w:hAnsi="Times New Roman" w:eastAsia="仿宋_GB2312" w:cs="Times New Roman"/>
          <w:color w:val="auto"/>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楷体_GB2312" w:cs="Times New Roman"/>
          <w:color w:val="auto"/>
          <w:sz w:val="32"/>
        </w:rPr>
        <w:t>（三）现场检查。</w:t>
      </w:r>
      <w:r>
        <w:rPr>
          <w:rFonts w:hint="eastAsia" w:ascii="Times New Roman" w:hAnsi="Times New Roman" w:eastAsia="仿宋_GB2312" w:cs="Times New Roman"/>
          <w:color w:val="auto"/>
          <w:sz w:val="32"/>
        </w:rPr>
        <w:t>市医保局组织人员对</w:t>
      </w:r>
      <w:r>
        <w:rPr>
          <w:rFonts w:hint="eastAsia" w:cs="Times New Roman"/>
          <w:color w:val="auto"/>
          <w:sz w:val="32"/>
          <w:lang w:eastAsia="zh-CN"/>
        </w:rPr>
        <w:t>市本级</w:t>
      </w:r>
      <w:r>
        <w:rPr>
          <w:rFonts w:hint="eastAsia" w:ascii="Times New Roman" w:hAnsi="Times New Roman" w:eastAsia="仿宋_GB2312" w:cs="Times New Roman"/>
          <w:color w:val="auto"/>
          <w:sz w:val="32"/>
        </w:rPr>
        <w:t>初步</w:t>
      </w:r>
      <w:r>
        <w:rPr>
          <w:rFonts w:hint="eastAsia" w:cs="Times New Roman"/>
          <w:color w:val="auto"/>
          <w:kern w:val="32"/>
          <w:sz w:val="32"/>
          <w:lang w:eastAsia="zh-CN"/>
        </w:rPr>
        <w:t>入围</w:t>
      </w:r>
      <w:r>
        <w:rPr>
          <w:rFonts w:hint="eastAsia" w:ascii="Times New Roman" w:hAnsi="Times New Roman" w:eastAsia="仿宋_GB2312" w:cs="Times New Roman"/>
          <w:color w:val="auto"/>
          <w:sz w:val="32"/>
        </w:rPr>
        <w:t>药店进行现场核查，确认申请药店提供材料与实际情况是否真实一致，对提供材料与实际不符的，取消其遴选资格，并按评审打分结果依次向后递补。</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ascii="Times New Roman" w:hAnsi="Times New Roman" w:eastAsia="仿宋_GB2312" w:cs="Times New Roman"/>
          <w:color w:val="auto"/>
          <w:sz w:val="32"/>
        </w:rPr>
      </w:pPr>
      <w:r>
        <w:rPr>
          <w:rFonts w:hint="eastAsia" w:ascii="Times New Roman" w:hAnsi="Times New Roman" w:eastAsia="楷体_GB2312" w:cs="Times New Roman"/>
          <w:color w:val="auto"/>
          <w:sz w:val="32"/>
        </w:rPr>
        <w:t>（</w:t>
      </w:r>
      <w:r>
        <w:rPr>
          <w:rFonts w:hint="eastAsia" w:eastAsia="楷体_GB2312" w:cs="Times New Roman"/>
          <w:color w:val="auto"/>
          <w:sz w:val="32"/>
          <w:lang w:val="en-US" w:eastAsia="zh-CN"/>
        </w:rPr>
        <w:t>四</w:t>
      </w:r>
      <w:r>
        <w:rPr>
          <w:rFonts w:hint="eastAsia" w:ascii="Times New Roman" w:hAnsi="Times New Roman" w:eastAsia="楷体_GB2312" w:cs="Times New Roman"/>
          <w:color w:val="auto"/>
          <w:sz w:val="32"/>
        </w:rPr>
        <w:t>）结果公示。</w:t>
      </w:r>
      <w:r>
        <w:rPr>
          <w:rFonts w:hint="eastAsia" w:ascii="Times New Roman" w:hAnsi="Times New Roman" w:eastAsia="仿宋_GB2312" w:cs="Times New Roman"/>
          <w:color w:val="auto"/>
          <w:sz w:val="32"/>
        </w:rPr>
        <w:t>根据评审结果和现场检查情况，在</w:t>
      </w:r>
      <w:r>
        <w:rPr>
          <w:rFonts w:hint="eastAsia" w:ascii="Times New Roman" w:hAnsi="Times New Roman" w:eastAsia="仿宋_GB2312" w:cs="Times New Roman"/>
          <w:color w:val="auto"/>
          <w:sz w:val="32"/>
          <w:lang w:val="en-US" w:eastAsia="zh-CN"/>
        </w:rPr>
        <w:t>铜陵市</w:t>
      </w:r>
      <w:r>
        <w:rPr>
          <w:rFonts w:hint="eastAsia" w:ascii="Times New Roman" w:hAnsi="Times New Roman" w:eastAsia="仿宋_GB2312" w:cs="Times New Roman"/>
          <w:color w:val="auto"/>
          <w:sz w:val="32"/>
        </w:rPr>
        <w:t>医保</w:t>
      </w:r>
      <w:r>
        <w:rPr>
          <w:rFonts w:hint="eastAsia" w:ascii="Times New Roman" w:hAnsi="Times New Roman" w:eastAsia="仿宋_GB2312" w:cs="Times New Roman"/>
          <w:color w:val="auto"/>
          <w:sz w:val="32"/>
          <w:lang w:val="en-US" w:eastAsia="zh-CN"/>
        </w:rPr>
        <w:t>局</w:t>
      </w:r>
      <w:r>
        <w:rPr>
          <w:rFonts w:hint="eastAsia" w:ascii="Times New Roman" w:hAnsi="Times New Roman" w:eastAsia="仿宋_GB2312" w:cs="Times New Roman"/>
          <w:color w:val="auto"/>
          <w:sz w:val="32"/>
        </w:rPr>
        <w:t>门户网站公示</w:t>
      </w:r>
      <w:r>
        <w:rPr>
          <w:rFonts w:hint="eastAsia" w:cs="Times New Roman"/>
          <w:color w:val="auto"/>
          <w:sz w:val="32"/>
          <w:lang w:eastAsia="zh-CN"/>
        </w:rPr>
        <w:t>市本级</w:t>
      </w:r>
      <w:r>
        <w:rPr>
          <w:rFonts w:hint="eastAsia" w:ascii="Times New Roman" w:hAnsi="Times New Roman" w:eastAsia="仿宋_GB2312" w:cs="Times New Roman"/>
          <w:color w:val="auto"/>
          <w:sz w:val="32"/>
        </w:rPr>
        <w:t>最终遴选确定药店名单。</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color w:val="auto"/>
          <w:lang w:eastAsia="zh-CN"/>
        </w:rPr>
      </w:pPr>
      <w:r>
        <w:rPr>
          <w:rFonts w:hint="eastAsia" w:ascii="Times New Roman" w:hAnsi="Times New Roman" w:eastAsia="楷体_GB2312" w:cs="Times New Roman"/>
          <w:color w:val="auto"/>
          <w:sz w:val="32"/>
        </w:rPr>
        <w:t>（</w:t>
      </w:r>
      <w:r>
        <w:rPr>
          <w:rFonts w:hint="eastAsia" w:eastAsia="楷体_GB2312" w:cs="Times New Roman"/>
          <w:color w:val="auto"/>
          <w:sz w:val="32"/>
          <w:lang w:val="en-US" w:eastAsia="zh-CN"/>
        </w:rPr>
        <w:t>五</w:t>
      </w:r>
      <w:r>
        <w:rPr>
          <w:rFonts w:hint="eastAsia" w:ascii="Times New Roman" w:hAnsi="Times New Roman" w:eastAsia="楷体_GB2312" w:cs="Times New Roman"/>
          <w:color w:val="auto"/>
          <w:sz w:val="32"/>
        </w:rPr>
        <w:t>）签订协议。</w:t>
      </w:r>
      <w:r>
        <w:rPr>
          <w:rFonts w:hint="eastAsia" w:ascii="Times New Roman" w:hAnsi="Times New Roman" w:eastAsia="仿宋_GB2312" w:cs="Times New Roman"/>
          <w:color w:val="auto"/>
          <w:sz w:val="32"/>
        </w:rPr>
        <w:t>公示结果无异议的，由</w:t>
      </w:r>
      <w:r>
        <w:rPr>
          <w:rFonts w:hint="eastAsia" w:ascii="Times New Roman" w:hAnsi="Times New Roman" w:eastAsia="仿宋_GB2312" w:cs="Times New Roman"/>
          <w:color w:val="auto"/>
          <w:sz w:val="32"/>
          <w:lang w:val="en-US" w:eastAsia="zh-CN"/>
        </w:rPr>
        <w:t>市医保经办机构</w:t>
      </w:r>
      <w:r>
        <w:rPr>
          <w:rFonts w:hint="eastAsia" w:ascii="Times New Roman" w:hAnsi="Times New Roman" w:eastAsia="仿宋_GB2312" w:cs="Times New Roman"/>
          <w:color w:val="auto"/>
          <w:sz w:val="32"/>
        </w:rPr>
        <w:t>与</w:t>
      </w:r>
      <w:r>
        <w:rPr>
          <w:rFonts w:hint="eastAsia" w:cs="Times New Roman"/>
          <w:color w:val="auto"/>
          <w:sz w:val="32"/>
          <w:lang w:eastAsia="zh-CN"/>
        </w:rPr>
        <w:t>市本级</w:t>
      </w:r>
      <w:r>
        <w:rPr>
          <w:rFonts w:hint="eastAsia" w:ascii="Times New Roman" w:hAnsi="Times New Roman" w:eastAsia="仿宋_GB2312" w:cs="Times New Roman"/>
          <w:color w:val="auto"/>
          <w:sz w:val="32"/>
        </w:rPr>
        <w:t>遴选确定药店签订医保服务管理协议。</w:t>
      </w:r>
    </w:p>
    <w:p>
      <w:pPr>
        <w:spacing w:line="592" w:lineRule="exact"/>
        <w:rPr>
          <w:color w:val="auto"/>
        </w:rPr>
        <w:sectPr>
          <w:footerReference r:id="rId5" w:type="default"/>
          <w:pgSz w:w="11906" w:h="16838"/>
          <w:pgMar w:top="1871" w:right="1531" w:bottom="1757" w:left="1531" w:header="851" w:footer="992" w:gutter="0"/>
          <w:cols w:space="0" w:num="1"/>
          <w:rtlGutter w:val="0"/>
          <w:docGrid w:type="lines" w:linePitch="600" w:charSpace="0"/>
        </w:sectPr>
      </w:pP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黑体"/>
          <w:color w:val="auto"/>
          <w:sz w:val="32"/>
          <w:szCs w:val="32"/>
          <w:lang w:val="en-US" w:eastAsia="zh-CN"/>
        </w:rPr>
      </w:pPr>
      <w:r>
        <w:rPr>
          <w:rFonts w:hint="eastAsia" w:ascii="Times New Roman" w:hAnsi="Times New Roman" w:eastAsia="黑体"/>
          <w:color w:val="auto"/>
          <w:sz w:val="32"/>
          <w:szCs w:val="32"/>
        </w:rPr>
        <w:t>附件</w:t>
      </w:r>
      <w:r>
        <w:rPr>
          <w:rFonts w:hint="eastAsia" w:eastAsia="黑体"/>
          <w:color w:val="auto"/>
          <w:sz w:val="32"/>
          <w:szCs w:val="32"/>
          <w:lang w:val="en-US" w:eastAsia="zh-CN"/>
        </w:rPr>
        <w:t>二：</w:t>
      </w:r>
    </w:p>
    <w:p>
      <w:pPr>
        <w:keepNext w:val="0"/>
        <w:keepLines w:val="0"/>
        <w:pageBreakBefore w:val="0"/>
        <w:widowControl w:val="0"/>
        <w:kinsoku/>
        <w:wordWrap/>
        <w:overflowPunct/>
        <w:topLinePunct w:val="0"/>
        <w:autoSpaceDE/>
        <w:autoSpaceDN/>
        <w:bidi w:val="0"/>
        <w:adjustRightInd/>
        <w:snapToGrid/>
        <w:spacing w:after="318" w:afterLines="50" w:line="640" w:lineRule="exact"/>
        <w:ind w:left="0" w:leftChars="0" w:firstLine="0" w:firstLineChars="0"/>
        <w:jc w:val="center"/>
        <w:textAlignment w:val="auto"/>
        <w:rPr>
          <w:rFonts w:ascii="Times New Roman" w:hAnsi="Times New Roman" w:eastAsia="方正小标宋简体" w:cs="Times New Roman"/>
          <w:color w:val="auto"/>
          <w:sz w:val="44"/>
          <w:szCs w:val="44"/>
        </w:rPr>
      </w:pPr>
      <w:r>
        <w:rPr>
          <w:rFonts w:hint="eastAsia" w:ascii="Times New Roman" w:hAnsi="Times New Roman" w:eastAsia="方正小标宋简体" w:cs="Times New Roman"/>
          <w:color w:val="auto"/>
          <w:sz w:val="44"/>
          <w:szCs w:val="44"/>
        </w:rPr>
        <w:t>铜陵市“双通道”管理定点零售药店评分标准</w:t>
      </w:r>
    </w:p>
    <w:tbl>
      <w:tblPr>
        <w:tblStyle w:val="9"/>
        <w:tblW w:w="14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870"/>
        <w:gridCol w:w="1170"/>
        <w:gridCol w:w="3645"/>
        <w:gridCol w:w="7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10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评分项目</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标准分</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评分分项</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评分标准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1064"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一、</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基本条件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（25分）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人员资质</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highlight w:val="none"/>
                <w:lang w:eastAsia="zh-CN"/>
              </w:rPr>
              <w:t>具</w:t>
            </w:r>
            <w:r>
              <w:rPr>
                <w:rFonts w:hint="default" w:ascii="Times New Roman" w:hAnsi="Times New Roman" w:eastAsia="宋体" w:cs="Times New Roman"/>
                <w:color w:val="auto"/>
                <w:sz w:val="21"/>
                <w:szCs w:val="21"/>
                <w:highlight w:val="none"/>
              </w:rPr>
              <w:t>有2</w:t>
            </w:r>
            <w:r>
              <w:rPr>
                <w:rFonts w:hint="default" w:ascii="Times New Roman" w:hAnsi="Times New Roman" w:eastAsia="宋体" w:cs="Times New Roman"/>
                <w:color w:val="auto"/>
                <w:sz w:val="21"/>
                <w:szCs w:val="21"/>
                <w:highlight w:val="none"/>
                <w:lang w:val="en-US" w:eastAsia="zh-CN"/>
              </w:rPr>
              <w:t>名</w:t>
            </w:r>
            <w:r>
              <w:rPr>
                <w:rFonts w:hint="eastAsia" w:eastAsia="宋体" w:cs="Times New Roman"/>
                <w:color w:val="auto"/>
                <w:sz w:val="21"/>
                <w:szCs w:val="21"/>
                <w:highlight w:val="none"/>
                <w:lang w:val="en-US" w:eastAsia="zh-CN"/>
              </w:rPr>
              <w:t>驻店</w:t>
            </w:r>
            <w:r>
              <w:rPr>
                <w:rFonts w:hint="default" w:ascii="Times New Roman" w:hAnsi="Times New Roman" w:eastAsia="宋体" w:cs="Times New Roman"/>
                <w:color w:val="auto"/>
                <w:sz w:val="21"/>
                <w:szCs w:val="21"/>
                <w:highlight w:val="none"/>
              </w:rPr>
              <w:t>执业药师，在202</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年</w:t>
            </w: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月</w:t>
            </w:r>
            <w:r>
              <w:rPr>
                <w:rFonts w:hint="eastAsia"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日前在申请药店注册并参保</w:t>
            </w:r>
            <w:r>
              <w:rPr>
                <w:rFonts w:hint="default" w:ascii="Times New Roman" w:hAnsi="Times New Roman" w:eastAsia="宋体" w:cs="Times New Roman"/>
                <w:color w:val="auto"/>
                <w:sz w:val="21"/>
                <w:szCs w:val="21"/>
                <w:highlight w:val="none"/>
                <w:lang w:val="en-US" w:eastAsia="zh-CN"/>
              </w:rPr>
              <w:t>的得4分</w:t>
            </w:r>
            <w:r>
              <w:rPr>
                <w:rFonts w:hint="default" w:ascii="Times New Roman" w:hAnsi="Times New Roman" w:eastAsia="宋体" w:cs="Times New Roman"/>
                <w:color w:val="auto"/>
                <w:sz w:val="21"/>
                <w:szCs w:val="21"/>
                <w:highlight w:val="none"/>
              </w:rPr>
              <w:t>。3人及以上的</w:t>
            </w:r>
            <w:r>
              <w:rPr>
                <w:rFonts w:hint="default" w:ascii="Times New Roman" w:hAnsi="Times New Roman" w:eastAsia="宋体" w:cs="Times New Roman"/>
                <w:color w:val="auto"/>
                <w:sz w:val="21"/>
                <w:szCs w:val="21"/>
                <w:highlight w:val="none"/>
                <w:lang w:val="en-US" w:eastAsia="zh-CN"/>
              </w:rPr>
              <w:t>可</w:t>
            </w:r>
            <w:r>
              <w:rPr>
                <w:rFonts w:hint="default" w:ascii="Times New Roman" w:hAnsi="Times New Roman" w:eastAsia="宋体" w:cs="Times New Roman"/>
                <w:color w:val="auto"/>
                <w:sz w:val="21"/>
                <w:szCs w:val="21"/>
                <w:highlight w:val="none"/>
              </w:rPr>
              <w:t>加1分。</w:t>
            </w:r>
            <w:r>
              <w:rPr>
                <w:rFonts w:hint="default" w:ascii="Times New Roman" w:hAnsi="Times New Roman" w:eastAsia="宋体" w:cs="Times New Roman"/>
                <w:color w:val="auto"/>
                <w:sz w:val="21"/>
                <w:szCs w:val="21"/>
                <w:highlight w:val="none"/>
                <w:lang w:val="en-US" w:eastAsia="zh-CN"/>
              </w:rPr>
              <w:t>满分5分。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1.申请药店提供执业药师名单、身份证、执业注册证复印件、社保参保缴费记录。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2.评审专家查看执业药师名单、身份证、执业注册证和参保缴费记录复印件。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（1）执业药师的执业注册证中“执业单位”应为申请门店，“注册日期”应为202</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20</w:t>
            </w:r>
            <w:r>
              <w:rPr>
                <w:rFonts w:hint="default" w:ascii="Times New Roman" w:hAnsi="Times New Roman" w:eastAsia="宋体" w:cs="Times New Roman"/>
                <w:color w:val="auto"/>
                <w:sz w:val="21"/>
                <w:szCs w:val="21"/>
              </w:rPr>
              <w:t>日前；</w:t>
            </w:r>
            <w:r>
              <w:rPr>
                <w:rFonts w:hint="eastAsia" w:eastAsia="宋体" w:cs="Times New Roman"/>
                <w:color w:val="auto"/>
                <w:sz w:val="21"/>
                <w:szCs w:val="21"/>
                <w:lang w:val="en-US" w:eastAsia="zh-CN"/>
              </w:rPr>
              <w:t>同时出具承诺该药店始终不低于申请定点时执业药师规模。没有承诺者本项不得分；</w:t>
            </w:r>
            <w:r>
              <w:rPr>
                <w:rFonts w:hint="default" w:ascii="Times New Roman" w:hAnsi="Times New Roman" w:eastAsia="宋体" w:cs="Times New Roman"/>
                <w:color w:val="auto"/>
                <w:sz w:val="21"/>
                <w:szCs w:val="21"/>
              </w:rPr>
              <w:t>（2）</w:t>
            </w:r>
            <w:r>
              <w:rPr>
                <w:rFonts w:hint="eastAsia" w:eastAsia="宋体" w:cs="Times New Roman"/>
                <w:color w:val="auto"/>
                <w:sz w:val="21"/>
                <w:szCs w:val="21"/>
                <w:lang w:val="en-US" w:eastAsia="zh-CN"/>
              </w:rPr>
              <w:t>提供</w:t>
            </w:r>
            <w:r>
              <w:rPr>
                <w:rFonts w:hint="default" w:ascii="Times New Roman" w:hAnsi="Times New Roman" w:eastAsia="宋体" w:cs="Times New Roman"/>
                <w:color w:val="auto"/>
                <w:sz w:val="21"/>
                <w:szCs w:val="21"/>
              </w:rPr>
              <w:t>社保参保缴费记录，参保时间应为202</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20</w:t>
            </w:r>
            <w:r>
              <w:rPr>
                <w:rFonts w:hint="default" w:ascii="Times New Roman" w:hAnsi="Times New Roman" w:eastAsia="宋体" w:cs="Times New Roman"/>
                <w:color w:val="auto"/>
                <w:sz w:val="21"/>
                <w:szCs w:val="21"/>
              </w:rPr>
              <w:t>日前；执业药师如为退休人员，则不需要提供参保记录。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lang w:eastAsia="zh-CN"/>
              </w:rPr>
              <w:t>）</w:t>
            </w:r>
            <w:r>
              <w:rPr>
                <w:rFonts w:hint="eastAsia" w:eastAsia="宋体" w:cs="Times New Roman"/>
                <w:color w:val="auto"/>
                <w:sz w:val="21"/>
                <w:szCs w:val="21"/>
                <w:lang w:val="en-US" w:eastAsia="zh-CN"/>
              </w:rPr>
              <w:t>执业药师由连锁公司派遣者须出具派遣函（注明派遣时间）并承诺该药店始终不低于申请定点时执业药师规模，没有派遣函的派遣药师不计入人员数量。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6</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经营面积</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申请药店同一平面经营面积不得低于100平米，</w:t>
            </w:r>
            <w:r>
              <w:rPr>
                <w:rFonts w:hint="eastAsia" w:eastAsia="宋体" w:cs="Times New Roman"/>
                <w:color w:val="auto"/>
                <w:sz w:val="21"/>
                <w:szCs w:val="21"/>
                <w:highlight w:val="none"/>
                <w:lang w:val="en-US" w:eastAsia="zh-CN"/>
              </w:rPr>
              <w:t>总经营面积100（含）~</w:t>
            </w:r>
            <w:r>
              <w:rPr>
                <w:rFonts w:hint="default" w:eastAsia="宋体" w:cs="Times New Roman"/>
                <w:color w:val="auto"/>
                <w:sz w:val="21"/>
                <w:szCs w:val="21"/>
                <w:highlight w:val="none"/>
                <w:lang w:eastAsia="zh-CN"/>
              </w:rPr>
              <w:t>150平米</w:t>
            </w:r>
            <w:r>
              <w:rPr>
                <w:rFonts w:hint="eastAsia" w:eastAsia="宋体" w:cs="Times New Roman"/>
                <w:color w:val="auto"/>
                <w:sz w:val="21"/>
                <w:szCs w:val="21"/>
                <w:highlight w:val="none"/>
                <w:lang w:val="en-US" w:eastAsia="zh-CN"/>
              </w:rPr>
              <w:t>以下者</w:t>
            </w:r>
            <w:r>
              <w:rPr>
                <w:rFonts w:hint="default" w:eastAsia="宋体" w:cs="Times New Roman"/>
                <w:color w:val="auto"/>
                <w:sz w:val="21"/>
                <w:szCs w:val="21"/>
                <w:highlight w:val="none"/>
                <w:lang w:eastAsia="zh-CN"/>
              </w:rPr>
              <w:t>得</w:t>
            </w:r>
            <w:r>
              <w:rPr>
                <w:rFonts w:hint="eastAsia" w:eastAsia="宋体" w:cs="Times New Roman"/>
                <w:color w:val="auto"/>
                <w:sz w:val="21"/>
                <w:szCs w:val="21"/>
                <w:highlight w:val="none"/>
                <w:lang w:val="en-US" w:eastAsia="zh-CN"/>
              </w:rPr>
              <w:t>2</w:t>
            </w:r>
            <w:r>
              <w:rPr>
                <w:rFonts w:hint="default" w:eastAsia="宋体" w:cs="Times New Roman"/>
                <w:color w:val="auto"/>
                <w:sz w:val="21"/>
                <w:szCs w:val="21"/>
                <w:highlight w:val="none"/>
                <w:lang w:eastAsia="zh-CN"/>
              </w:rPr>
              <w:t>分，150平米</w:t>
            </w:r>
            <w:r>
              <w:rPr>
                <w:rFonts w:hint="eastAsia" w:eastAsia="宋体" w:cs="Times New Roman"/>
                <w:color w:val="auto"/>
                <w:sz w:val="21"/>
                <w:szCs w:val="21"/>
                <w:highlight w:val="none"/>
                <w:lang w:eastAsia="zh-CN"/>
              </w:rPr>
              <w:t>（</w:t>
            </w:r>
            <w:r>
              <w:rPr>
                <w:rFonts w:hint="eastAsia" w:eastAsia="宋体" w:cs="Times New Roman"/>
                <w:color w:val="auto"/>
                <w:sz w:val="21"/>
                <w:szCs w:val="21"/>
                <w:highlight w:val="none"/>
                <w:lang w:val="en-US" w:eastAsia="zh-CN"/>
              </w:rPr>
              <w:t>含</w:t>
            </w:r>
            <w:r>
              <w:rPr>
                <w:rFonts w:hint="eastAsia" w:eastAsia="宋体" w:cs="Times New Roman"/>
                <w:color w:val="auto"/>
                <w:sz w:val="21"/>
                <w:szCs w:val="21"/>
                <w:highlight w:val="none"/>
                <w:lang w:eastAsia="zh-CN"/>
              </w:rPr>
              <w:t>）</w:t>
            </w:r>
            <w:r>
              <w:rPr>
                <w:rFonts w:hint="default" w:eastAsia="宋体" w:cs="Times New Roman"/>
                <w:color w:val="auto"/>
                <w:sz w:val="21"/>
                <w:szCs w:val="21"/>
                <w:highlight w:val="none"/>
                <w:lang w:eastAsia="zh-CN"/>
              </w:rPr>
              <w:t>至200平米</w:t>
            </w:r>
            <w:r>
              <w:rPr>
                <w:rFonts w:hint="eastAsia" w:eastAsia="宋体" w:cs="Times New Roman"/>
                <w:color w:val="auto"/>
                <w:sz w:val="21"/>
                <w:szCs w:val="21"/>
                <w:highlight w:val="none"/>
                <w:lang w:val="en-US" w:eastAsia="zh-CN"/>
              </w:rPr>
              <w:t>以下者加2</w:t>
            </w:r>
            <w:r>
              <w:rPr>
                <w:rFonts w:hint="default" w:eastAsia="宋体" w:cs="Times New Roman"/>
                <w:color w:val="auto"/>
                <w:sz w:val="21"/>
                <w:szCs w:val="21"/>
                <w:highlight w:val="none"/>
                <w:lang w:eastAsia="zh-CN"/>
              </w:rPr>
              <w:t>分，200平米及以上</w:t>
            </w:r>
            <w:r>
              <w:rPr>
                <w:rFonts w:hint="eastAsia" w:eastAsia="宋体" w:cs="Times New Roman"/>
                <w:color w:val="auto"/>
                <w:sz w:val="21"/>
                <w:szCs w:val="21"/>
                <w:highlight w:val="none"/>
                <w:lang w:val="en-US" w:eastAsia="zh-CN"/>
              </w:rPr>
              <w:t>者再加2</w:t>
            </w:r>
            <w:r>
              <w:rPr>
                <w:rFonts w:hint="default" w:eastAsia="宋体" w:cs="Times New Roman"/>
                <w:color w:val="auto"/>
                <w:sz w:val="21"/>
                <w:szCs w:val="21"/>
                <w:highlight w:val="none"/>
                <w:lang w:eastAsia="zh-CN"/>
              </w:rPr>
              <w:t>分。满分</w:t>
            </w:r>
            <w:r>
              <w:rPr>
                <w:rFonts w:hint="eastAsia" w:eastAsia="宋体" w:cs="Times New Roman"/>
                <w:color w:val="auto"/>
                <w:sz w:val="21"/>
                <w:szCs w:val="21"/>
                <w:highlight w:val="none"/>
                <w:lang w:val="en-US" w:eastAsia="zh-CN"/>
              </w:rPr>
              <w:t>6</w:t>
            </w:r>
            <w:r>
              <w:rPr>
                <w:rFonts w:hint="default" w:eastAsia="宋体" w:cs="Times New Roman"/>
                <w:color w:val="auto"/>
                <w:sz w:val="21"/>
                <w:szCs w:val="21"/>
                <w:highlight w:val="none"/>
                <w:lang w:eastAsia="zh-CN"/>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1.申请药店提供的标注尺寸的门店平面图、房产证或房屋租赁合同。</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2.评审专家对照标准打分。</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eastAsia" w:eastAsia="宋体" w:cs="Times New Roman"/>
                <w:color w:val="auto"/>
                <w:sz w:val="21"/>
                <w:szCs w:val="21"/>
                <w:lang w:val="en-US" w:eastAsia="zh-CN"/>
              </w:rPr>
              <w:t>3.</w:t>
            </w:r>
            <w:r>
              <w:rPr>
                <w:rFonts w:hint="default" w:eastAsia="宋体" w:cs="Times New Roman"/>
                <w:color w:val="auto"/>
                <w:sz w:val="21"/>
                <w:szCs w:val="21"/>
                <w:highlight w:val="none"/>
                <w:lang w:eastAsia="zh-CN"/>
              </w:rPr>
              <w:t>同一平面经营面积</w:t>
            </w:r>
            <w:r>
              <w:rPr>
                <w:rFonts w:hint="default" w:ascii="Times New Roman" w:hAnsi="Times New Roman" w:eastAsia="宋体" w:cs="Times New Roman"/>
                <w:color w:val="auto"/>
                <w:sz w:val="21"/>
                <w:szCs w:val="21"/>
              </w:rPr>
              <w:t>未达到</w:t>
            </w:r>
            <w:r>
              <w:rPr>
                <w:rFonts w:hint="eastAsia" w:eastAsia="宋体" w:cs="Times New Roman"/>
                <w:color w:val="auto"/>
                <w:sz w:val="21"/>
                <w:szCs w:val="21"/>
                <w:lang w:val="en-US" w:eastAsia="zh-CN"/>
              </w:rPr>
              <w:t>100平米</w:t>
            </w:r>
            <w:r>
              <w:rPr>
                <w:rFonts w:hint="default" w:ascii="Times New Roman" w:hAnsi="Times New Roman" w:eastAsia="宋体" w:cs="Times New Roman"/>
                <w:color w:val="auto"/>
                <w:sz w:val="21"/>
                <w:szCs w:val="21"/>
              </w:rPr>
              <w:t>的，取消遴选资格。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仓储环境</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申请药店</w:t>
            </w:r>
            <w:r>
              <w:rPr>
                <w:rFonts w:hint="eastAsia" w:eastAsia="宋体" w:cs="Times New Roman"/>
                <w:color w:val="auto"/>
                <w:sz w:val="21"/>
                <w:szCs w:val="21"/>
                <w:highlight w:val="none"/>
                <w:lang w:val="en-US" w:eastAsia="zh-CN"/>
              </w:rPr>
              <w:t>须</w:t>
            </w:r>
            <w:r>
              <w:rPr>
                <w:rFonts w:hint="default" w:eastAsia="宋体" w:cs="Times New Roman"/>
                <w:color w:val="auto"/>
                <w:sz w:val="21"/>
                <w:szCs w:val="21"/>
                <w:highlight w:val="none"/>
                <w:lang w:eastAsia="zh-CN"/>
              </w:rPr>
              <w:t>设有冷链药品专业冷藏</w:t>
            </w:r>
            <w:r>
              <w:rPr>
                <w:rFonts w:hint="eastAsia" w:eastAsia="宋体" w:cs="Times New Roman"/>
                <w:color w:val="auto"/>
                <w:sz w:val="21"/>
                <w:szCs w:val="21"/>
                <w:highlight w:val="none"/>
                <w:lang w:val="en-US" w:eastAsia="zh-CN"/>
              </w:rPr>
              <w:t>设备。设有冷藏</w:t>
            </w:r>
            <w:r>
              <w:rPr>
                <w:rFonts w:hint="default" w:eastAsia="宋体" w:cs="Times New Roman"/>
                <w:color w:val="auto"/>
                <w:sz w:val="21"/>
                <w:szCs w:val="21"/>
                <w:highlight w:val="none"/>
                <w:lang w:eastAsia="zh-CN"/>
              </w:rPr>
              <w:t>柜</w:t>
            </w:r>
            <w:r>
              <w:rPr>
                <w:rFonts w:hint="eastAsia" w:eastAsia="宋体" w:cs="Times New Roman"/>
                <w:color w:val="auto"/>
                <w:sz w:val="21"/>
                <w:szCs w:val="21"/>
                <w:highlight w:val="none"/>
                <w:lang w:val="en-US" w:eastAsia="zh-CN"/>
              </w:rPr>
              <w:t>的</w:t>
            </w:r>
            <w:r>
              <w:rPr>
                <w:rFonts w:hint="default" w:eastAsia="宋体" w:cs="Times New Roman"/>
                <w:color w:val="auto"/>
                <w:sz w:val="21"/>
                <w:szCs w:val="21"/>
                <w:highlight w:val="none"/>
                <w:lang w:eastAsia="zh-CN"/>
              </w:rPr>
              <w:t>，350立升以下的得</w:t>
            </w:r>
            <w:r>
              <w:rPr>
                <w:rFonts w:hint="eastAsia" w:eastAsia="宋体" w:cs="Times New Roman"/>
                <w:color w:val="auto"/>
                <w:sz w:val="21"/>
                <w:szCs w:val="21"/>
                <w:highlight w:val="none"/>
                <w:lang w:val="en-US" w:eastAsia="zh-CN"/>
              </w:rPr>
              <w:t>5</w:t>
            </w:r>
            <w:r>
              <w:rPr>
                <w:rFonts w:hint="default" w:eastAsia="宋体" w:cs="Times New Roman"/>
                <w:color w:val="auto"/>
                <w:sz w:val="21"/>
                <w:szCs w:val="21"/>
                <w:highlight w:val="none"/>
                <w:lang w:eastAsia="zh-CN"/>
              </w:rPr>
              <w:t>分，350立升以上的</w:t>
            </w:r>
            <w:r>
              <w:rPr>
                <w:rFonts w:hint="eastAsia" w:eastAsia="宋体" w:cs="Times New Roman"/>
                <w:color w:val="auto"/>
                <w:sz w:val="21"/>
                <w:szCs w:val="21"/>
                <w:highlight w:val="none"/>
                <w:lang w:val="en-US" w:eastAsia="zh-CN"/>
              </w:rPr>
              <w:t>加1</w:t>
            </w:r>
            <w:r>
              <w:rPr>
                <w:rFonts w:hint="default" w:eastAsia="宋体" w:cs="Times New Roman"/>
                <w:color w:val="auto"/>
                <w:sz w:val="21"/>
                <w:szCs w:val="21"/>
                <w:highlight w:val="none"/>
                <w:lang w:eastAsia="zh-CN"/>
              </w:rPr>
              <w:t>分。设有冷链药品专业冷藏室（库）6立方米以上的</w:t>
            </w:r>
            <w:r>
              <w:rPr>
                <w:rFonts w:hint="eastAsia" w:eastAsia="宋体" w:cs="Times New Roman"/>
                <w:color w:val="auto"/>
                <w:sz w:val="21"/>
                <w:szCs w:val="21"/>
                <w:highlight w:val="none"/>
                <w:lang w:val="en-US" w:eastAsia="zh-CN"/>
              </w:rPr>
              <w:t>加4</w:t>
            </w:r>
            <w:r>
              <w:rPr>
                <w:rFonts w:hint="default" w:eastAsia="宋体" w:cs="Times New Roman"/>
                <w:color w:val="auto"/>
                <w:sz w:val="21"/>
                <w:szCs w:val="21"/>
                <w:highlight w:val="none"/>
                <w:lang w:eastAsia="zh-CN"/>
              </w:rPr>
              <w:t>分</w:t>
            </w:r>
            <w:r>
              <w:rPr>
                <w:rFonts w:hint="eastAsia" w:eastAsia="宋体" w:cs="Times New Roman"/>
                <w:color w:val="auto"/>
                <w:sz w:val="21"/>
                <w:szCs w:val="21"/>
                <w:highlight w:val="none"/>
                <w:lang w:eastAsia="zh-CN"/>
              </w:rPr>
              <w:t>。</w:t>
            </w:r>
            <w:r>
              <w:rPr>
                <w:rFonts w:hint="default" w:eastAsia="宋体" w:cs="Times New Roman"/>
                <w:color w:val="auto"/>
                <w:sz w:val="21"/>
                <w:szCs w:val="21"/>
                <w:highlight w:val="none"/>
                <w:lang w:eastAsia="zh-CN"/>
              </w:rPr>
              <w:t>满分10分。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1.申请药店提供冷藏室、冷藏柜相关照片和专业冷链认证报告复印件（现场核查时查看原件）。</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eastAsia="zh-CN"/>
              </w:rPr>
            </w:pPr>
            <w:r>
              <w:rPr>
                <w:rFonts w:hint="default" w:eastAsia="宋体" w:cs="Times New Roman"/>
                <w:color w:val="auto"/>
                <w:sz w:val="21"/>
                <w:szCs w:val="21"/>
                <w:highlight w:val="none"/>
                <w:lang w:eastAsia="zh-CN"/>
              </w:rPr>
              <w:t>2.评审专家查看冷藏室、冷藏柜相关照片和专业冷链认证报告复印件，合格的冷藏室、冷藏柜认定标准如下：（1）具有GSP冷链认证资质（CNAS认证，资质证书上有CNAS标志）的第三方机构的专业冷链认证；（2）需要配备专用应急电源，需要有温湿度实时监控设备。</w:t>
            </w:r>
          </w:p>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val="en-US" w:eastAsia="zh-CN"/>
              </w:rPr>
            </w:pPr>
            <w:r>
              <w:rPr>
                <w:rFonts w:hint="default" w:eastAsia="宋体" w:cs="Times New Roman"/>
                <w:color w:val="auto"/>
                <w:sz w:val="21"/>
                <w:szCs w:val="21"/>
                <w:highlight w:val="none"/>
                <w:lang w:eastAsia="zh-CN"/>
              </w:rPr>
              <w:t>3.连锁企业的专业冷藏室（库）可以作为该企业申请药店的</w:t>
            </w:r>
            <w:r>
              <w:rPr>
                <w:rFonts w:hint="eastAsia" w:eastAsia="宋体" w:cs="Times New Roman"/>
                <w:color w:val="auto"/>
                <w:sz w:val="21"/>
                <w:szCs w:val="21"/>
                <w:highlight w:val="none"/>
                <w:lang w:val="en-US" w:eastAsia="zh-CN"/>
              </w:rPr>
              <w:t>加分</w:t>
            </w:r>
            <w:r>
              <w:rPr>
                <w:rFonts w:hint="default" w:eastAsia="宋体" w:cs="Times New Roman"/>
                <w:color w:val="auto"/>
                <w:sz w:val="21"/>
                <w:szCs w:val="21"/>
                <w:highlight w:val="none"/>
                <w:lang w:eastAsia="zh-CN"/>
              </w:rPr>
              <w:t>依据</w:t>
            </w:r>
            <w:r>
              <w:rPr>
                <w:rFonts w:hint="eastAsia" w:eastAsia="宋体" w:cs="Times New Roman"/>
                <w:color w:val="auto"/>
                <w:sz w:val="21"/>
                <w:szCs w:val="21"/>
                <w:highlight w:val="none"/>
                <w:lang w:eastAsia="zh-CN"/>
              </w:rPr>
              <w:t>，</w:t>
            </w:r>
            <w:r>
              <w:rPr>
                <w:rFonts w:hint="eastAsia" w:eastAsia="宋体" w:cs="Times New Roman"/>
                <w:color w:val="auto"/>
                <w:sz w:val="21"/>
                <w:szCs w:val="21"/>
                <w:highlight w:val="none"/>
                <w:lang w:val="en-US" w:eastAsia="zh-CN"/>
              </w:rPr>
              <w:t>但申请药店必须设有店内</w:t>
            </w:r>
            <w:r>
              <w:rPr>
                <w:rFonts w:hint="default" w:eastAsia="宋体" w:cs="Times New Roman"/>
                <w:color w:val="auto"/>
                <w:sz w:val="21"/>
                <w:szCs w:val="21"/>
                <w:highlight w:val="none"/>
                <w:lang w:eastAsia="zh-CN"/>
              </w:rPr>
              <w:t>冷链药品专业冷藏柜，</w:t>
            </w:r>
            <w:r>
              <w:rPr>
                <w:rFonts w:hint="eastAsia" w:eastAsia="宋体" w:cs="Times New Roman"/>
                <w:color w:val="auto"/>
                <w:sz w:val="21"/>
                <w:szCs w:val="21"/>
                <w:highlight w:val="none"/>
                <w:lang w:val="en-US" w:eastAsia="zh-CN"/>
              </w:rPr>
              <w:t>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064"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4</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服务环境</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申请药店设有参保患者专用咨询台的得</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分，设有参保患者专用休息接待区，得2分。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1.申请药店提供相关平面图和相关区域照片。</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2.评审专家对照标准打分。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1064" w:type="dxa"/>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二、</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管理能力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（40分）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eastAsia" w:eastAsia="宋体" w:cs="Times New Roman"/>
                <w:color w:val="auto"/>
                <w:sz w:val="21"/>
                <w:szCs w:val="21"/>
                <w:lang w:val="en-US" w:eastAsia="zh-CN"/>
              </w:rPr>
              <w:t>2</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服务资质</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rPr>
              <w:t>申请药店获得医保定点资格1年以内的得</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取得</w:t>
            </w:r>
            <w:r>
              <w:rPr>
                <w:rFonts w:hint="default" w:ascii="Times New Roman" w:hAnsi="Times New Roman" w:eastAsia="宋体" w:cs="Times New Roman"/>
                <w:color w:val="auto"/>
                <w:sz w:val="21"/>
                <w:szCs w:val="21"/>
              </w:rPr>
              <w:t>定点</w:t>
            </w:r>
            <w:r>
              <w:rPr>
                <w:rFonts w:hint="default" w:ascii="Times New Roman" w:hAnsi="Times New Roman" w:eastAsia="宋体" w:cs="Times New Roman"/>
                <w:color w:val="auto"/>
                <w:sz w:val="21"/>
                <w:szCs w:val="21"/>
                <w:lang w:val="en-US" w:eastAsia="zh-CN"/>
              </w:rPr>
              <w:t>资格1</w:t>
            </w:r>
            <w:r>
              <w:rPr>
                <w:rFonts w:hint="default" w:ascii="Times New Roman" w:hAnsi="Times New Roman" w:eastAsia="宋体" w:cs="Times New Roman"/>
                <w:color w:val="auto"/>
                <w:sz w:val="21"/>
                <w:szCs w:val="21"/>
              </w:rPr>
              <w:t>年及以上的</w:t>
            </w:r>
            <w:r>
              <w:rPr>
                <w:rFonts w:hint="default" w:ascii="Times New Roman" w:hAnsi="Times New Roman" w:eastAsia="宋体" w:cs="Times New Roman"/>
                <w:color w:val="auto"/>
                <w:sz w:val="21"/>
                <w:szCs w:val="21"/>
                <w:lang w:val="en-US" w:eastAsia="zh-CN"/>
              </w:rPr>
              <w:t>再加1</w:t>
            </w:r>
            <w:r>
              <w:rPr>
                <w:rFonts w:hint="default" w:ascii="Times New Roman" w:hAnsi="Times New Roman" w:eastAsia="宋体" w:cs="Times New Roman"/>
                <w:color w:val="auto"/>
                <w:sz w:val="21"/>
                <w:szCs w:val="21"/>
              </w:rPr>
              <w:t>分。满分</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1.申请药店提供医保服务协议、连锁经营相关文书复印件。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7</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规章制度</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申请药店有针对</w:t>
            </w:r>
            <w:r>
              <w:rPr>
                <w:rFonts w:hint="default" w:ascii="Times New Roman" w:hAnsi="Times New Roman" w:eastAsia="宋体" w:cs="Times New Roman"/>
                <w:color w:val="auto"/>
                <w:sz w:val="21"/>
                <w:szCs w:val="21"/>
                <w:lang w:eastAsia="zh-CN"/>
              </w:rPr>
              <w:t>国家医保谈判药品</w:t>
            </w:r>
            <w:r>
              <w:rPr>
                <w:rFonts w:hint="default" w:ascii="Times New Roman" w:hAnsi="Times New Roman" w:eastAsia="宋体" w:cs="Times New Roman"/>
                <w:color w:val="auto"/>
                <w:sz w:val="21"/>
                <w:szCs w:val="21"/>
              </w:rPr>
              <w:t>零售管理和服务相关岗位设置、具备完善的管理服务制度的得</w:t>
            </w: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1.申请药店提供相关岗位清单、岗位职责及其他规章制度汇编等复印件（连锁企业的申请药店，连锁企业的相关规章制度可作为申请药店申报材料）。</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2.评审专家对照检查，对“进销存管理”“岗位设置与职责”“配送管理制度”“冷链储存应急预案”“冷链药品配送操作规程”“患者服务流程及制度”“慈善赠药服务管理办法”等办法，每少一项扣1分。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违规情况</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年</w:t>
            </w:r>
            <w:r>
              <w:rPr>
                <w:rFonts w:hint="eastAsia" w:eastAsia="宋体" w:cs="Times New Roman"/>
                <w:color w:val="auto"/>
                <w:sz w:val="21"/>
                <w:szCs w:val="21"/>
                <w:lang w:val="en-US" w:eastAsia="zh-CN"/>
              </w:rPr>
              <w:t>8</w:t>
            </w:r>
            <w:r>
              <w:rPr>
                <w:rFonts w:hint="default" w:ascii="Times New Roman" w:hAnsi="Times New Roman" w:eastAsia="宋体" w:cs="Times New Roman"/>
                <w:color w:val="auto"/>
                <w:sz w:val="21"/>
                <w:szCs w:val="21"/>
              </w:rPr>
              <w:t>月</w:t>
            </w:r>
            <w:r>
              <w:rPr>
                <w:rFonts w:hint="eastAsia" w:eastAsia="宋体" w:cs="Times New Roman"/>
                <w:color w:val="auto"/>
                <w:sz w:val="21"/>
                <w:szCs w:val="21"/>
                <w:lang w:val="en-US" w:eastAsia="zh-CN"/>
              </w:rPr>
              <w:t>1</w:t>
            </w:r>
            <w:r>
              <w:rPr>
                <w:rFonts w:hint="default" w:ascii="Times New Roman" w:hAnsi="Times New Roman" w:eastAsia="宋体" w:cs="Times New Roman"/>
                <w:color w:val="auto"/>
                <w:sz w:val="21"/>
                <w:szCs w:val="21"/>
              </w:rPr>
              <w:t>日以来，无医保违规记录，无药监等其他行政部门处罚记录的得</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1.申请药店提供加盖公章的无违规、无受到行政处罚的承诺书。</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2.查询医保经办机构对申请药店的违规处理记录。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3.评审专家按承诺书和查询结果评分，申请药店</w:t>
            </w:r>
            <w:r>
              <w:rPr>
                <w:rFonts w:hint="default" w:ascii="Times New Roman" w:hAnsi="Times New Roman" w:eastAsia="宋体" w:cs="Times New Roman"/>
                <w:color w:val="auto"/>
                <w:sz w:val="21"/>
                <w:szCs w:val="21"/>
                <w:lang w:val="en-US" w:eastAsia="zh-CN"/>
              </w:rPr>
              <w:t>有医保违规纪录的，取消遴选资格。同时</w:t>
            </w:r>
            <w:r>
              <w:rPr>
                <w:rFonts w:hint="default" w:ascii="Times New Roman" w:hAnsi="Times New Roman" w:eastAsia="宋体" w:cs="Times New Roman"/>
                <w:color w:val="auto"/>
                <w:sz w:val="21"/>
                <w:szCs w:val="21"/>
              </w:rPr>
              <w:t>，药品连锁企业的其他门店有医保违规或行政处罚记录的，每发生一例扣0.5分，</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val="en-US" w:eastAsia="zh-CN"/>
              </w:rPr>
              <w:t>扣完</w:t>
            </w:r>
            <w:r>
              <w:rPr>
                <w:rFonts w:hint="default" w:ascii="Times New Roman" w:hAnsi="Times New Roman" w:eastAsia="宋体" w:cs="Times New Roman"/>
                <w:color w:val="auto"/>
                <w:sz w:val="21"/>
                <w:szCs w:val="21"/>
              </w:rPr>
              <w:t>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台账管理</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申请药店为参保人员购药单独建账，且账账相符的得</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处方分类装订，存档1年的得</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分，存档</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年</w:t>
            </w:r>
            <w:r>
              <w:rPr>
                <w:rFonts w:hint="default" w:ascii="Times New Roman" w:hAnsi="Times New Roman" w:eastAsia="宋体" w:cs="Times New Roman"/>
                <w:color w:val="auto"/>
                <w:sz w:val="21"/>
                <w:szCs w:val="21"/>
                <w:lang w:val="en-US" w:eastAsia="zh-CN"/>
              </w:rPr>
              <w:t>以上</w:t>
            </w:r>
            <w:r>
              <w:rPr>
                <w:rFonts w:hint="default" w:ascii="Times New Roman" w:hAnsi="Times New Roman" w:eastAsia="宋体" w:cs="Times New Roman"/>
                <w:color w:val="auto"/>
                <w:sz w:val="21"/>
                <w:szCs w:val="21"/>
              </w:rPr>
              <w:t>的</w:t>
            </w:r>
            <w:r>
              <w:rPr>
                <w:rFonts w:hint="default" w:ascii="Times New Roman" w:hAnsi="Times New Roman" w:eastAsia="宋体" w:cs="Times New Roman"/>
                <w:color w:val="auto"/>
                <w:sz w:val="21"/>
                <w:szCs w:val="21"/>
                <w:lang w:val="en-US" w:eastAsia="zh-CN"/>
              </w:rPr>
              <w:t>加1</w:t>
            </w:r>
            <w:r>
              <w:rPr>
                <w:rFonts w:hint="default" w:ascii="Times New Roman" w:hAnsi="Times New Roman" w:eastAsia="宋体" w:cs="Times New Roman"/>
                <w:color w:val="auto"/>
                <w:sz w:val="21"/>
                <w:szCs w:val="21"/>
              </w:rPr>
              <w:t>分。</w:t>
            </w:r>
            <w:r>
              <w:rPr>
                <w:rFonts w:hint="default" w:eastAsia="宋体" w:cs="Times New Roman"/>
                <w:color w:val="auto"/>
                <w:sz w:val="21"/>
                <w:szCs w:val="21"/>
                <w:highlight w:val="none"/>
                <w:lang w:eastAsia="zh-CN"/>
              </w:rPr>
              <w:t>满分</w:t>
            </w:r>
            <w:r>
              <w:rPr>
                <w:rFonts w:hint="eastAsia" w:eastAsia="宋体" w:cs="Times New Roman"/>
                <w:color w:val="auto"/>
                <w:sz w:val="21"/>
                <w:szCs w:val="21"/>
                <w:highlight w:val="none"/>
                <w:lang w:val="en-US" w:eastAsia="zh-CN"/>
              </w:rPr>
              <w:t>5</w:t>
            </w:r>
            <w:r>
              <w:rPr>
                <w:rFonts w:hint="default" w:eastAsia="宋体" w:cs="Times New Roman"/>
                <w:color w:val="auto"/>
                <w:sz w:val="21"/>
                <w:szCs w:val="21"/>
                <w:highlight w:val="none"/>
                <w:lang w:eastAsia="zh-CN"/>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1.申请药店提供经营谈判药以来的谈判药购销发票、销售台账和处方册复印件。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2.评审专家对照检查并打分。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sz w:val="21"/>
                <w:szCs w:val="21"/>
                <w:lang w:val="en-US" w:eastAsia="zh-CN"/>
              </w:rPr>
              <w:t>6</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管理方案</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综合介绍与谈判药销售管理、服务参保患者紧密相关的内容。评委根据管理方案的完整、优化合理程度综分评分，较好得</w:t>
            </w:r>
            <w:r>
              <w:rPr>
                <w:rFonts w:hint="eastAsia" w:eastAsia="宋体" w:cs="Times New Roman"/>
                <w:color w:val="auto"/>
                <w:sz w:val="21"/>
                <w:szCs w:val="21"/>
                <w:lang w:val="en-US" w:eastAsia="zh-CN"/>
              </w:rPr>
              <w:t>5-6</w:t>
            </w:r>
            <w:r>
              <w:rPr>
                <w:rFonts w:hint="default" w:ascii="Times New Roman" w:hAnsi="Times New Roman" w:eastAsia="宋体" w:cs="Times New Roman"/>
                <w:color w:val="auto"/>
                <w:sz w:val="21"/>
                <w:szCs w:val="21"/>
              </w:rPr>
              <w:t>分，一般得</w:t>
            </w:r>
            <w:r>
              <w:rPr>
                <w:rFonts w:hint="eastAsia" w:eastAsia="宋体" w:cs="Times New Roman"/>
                <w:color w:val="auto"/>
                <w:sz w:val="21"/>
                <w:szCs w:val="21"/>
                <w:lang w:val="en-US" w:eastAsia="zh-CN"/>
              </w:rPr>
              <w:t>3-4</w:t>
            </w:r>
            <w:r>
              <w:rPr>
                <w:rFonts w:hint="default" w:ascii="Times New Roman" w:hAnsi="Times New Roman" w:eastAsia="宋体" w:cs="Times New Roman"/>
                <w:color w:val="auto"/>
                <w:sz w:val="21"/>
                <w:szCs w:val="21"/>
              </w:rPr>
              <w:t>分，较差得1</w:t>
            </w:r>
            <w:r>
              <w:rPr>
                <w:rFonts w:hint="eastAsia" w:eastAsia="宋体" w:cs="Times New Roman"/>
                <w:color w:val="auto"/>
                <w:sz w:val="21"/>
                <w:szCs w:val="21"/>
                <w:lang w:val="en-US" w:eastAsia="zh-CN"/>
              </w:rPr>
              <w:t>-2</w:t>
            </w:r>
            <w:r>
              <w:rPr>
                <w:rFonts w:hint="default" w:ascii="Times New Roman" w:hAnsi="Times New Roman" w:eastAsia="宋体" w:cs="Times New Roman"/>
                <w:color w:val="auto"/>
                <w:sz w:val="21"/>
                <w:szCs w:val="21"/>
              </w:rPr>
              <w:t>分，没有不得分。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1.申请药店提供谈判药销售服务管理方案。</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2.评审专家对照打分。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0" w:hRule="atLeast"/>
          <w:jc w:val="center"/>
        </w:trPr>
        <w:tc>
          <w:tcPr>
            <w:tcW w:w="1064"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二、</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管理能力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（40分）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信息化</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管理</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必须</w:t>
            </w:r>
            <w:r>
              <w:rPr>
                <w:rFonts w:hint="default" w:ascii="Times New Roman" w:hAnsi="Times New Roman" w:eastAsia="宋体" w:cs="Times New Roman"/>
                <w:color w:val="auto"/>
                <w:sz w:val="21"/>
                <w:szCs w:val="21"/>
              </w:rPr>
              <w:t>具备符合医保协议管理要求的信息系统技术和接口标准，实现与医保信息系统有效对接</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建立完善的</w:t>
            </w:r>
            <w:r>
              <w:rPr>
                <w:rFonts w:hint="default" w:ascii="Times New Roman" w:hAnsi="Times New Roman" w:eastAsia="宋体" w:cs="Times New Roman"/>
                <w:color w:val="auto"/>
                <w:sz w:val="21"/>
                <w:szCs w:val="21"/>
              </w:rPr>
              <w:t>药房至患者侧配送管理及冷链全程实时监控系统得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不完善的酌情扣分</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w:t>
            </w:r>
            <w:r>
              <w:rPr>
                <w:rFonts w:hint="default" w:ascii="Times New Roman" w:hAnsi="Times New Roman" w:eastAsia="宋体" w:cs="Times New Roman"/>
                <w:color w:val="auto"/>
                <w:sz w:val="21"/>
                <w:szCs w:val="21"/>
                <w:lang w:val="en-US" w:eastAsia="zh-CN"/>
              </w:rPr>
              <w:t>能</w:t>
            </w:r>
            <w:r>
              <w:rPr>
                <w:rFonts w:hint="default" w:ascii="Times New Roman" w:hAnsi="Times New Roman" w:eastAsia="宋体" w:cs="Times New Roman"/>
                <w:color w:val="auto"/>
                <w:sz w:val="21"/>
                <w:szCs w:val="21"/>
              </w:rPr>
              <w:t>为患者提供用药提醒、用药指导、随访跟踪等服务管理信息化系统的得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不完善的酌情扣分</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满分1</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1.申请药店提供相关信息化建设</w:t>
            </w:r>
            <w:r>
              <w:rPr>
                <w:rFonts w:hint="default" w:ascii="Times New Roman" w:hAnsi="Times New Roman" w:eastAsia="宋体" w:cs="Times New Roman"/>
                <w:color w:val="auto"/>
                <w:sz w:val="21"/>
                <w:szCs w:val="21"/>
                <w:lang w:val="en-US" w:eastAsia="zh-CN"/>
              </w:rPr>
              <w:t>及信息管理制度方案</w:t>
            </w:r>
            <w:r>
              <w:rPr>
                <w:rFonts w:hint="default" w:ascii="Times New Roman" w:hAnsi="Times New Roman" w:eastAsia="宋体" w:cs="Times New Roman"/>
                <w:color w:val="auto"/>
                <w:sz w:val="21"/>
                <w:szCs w:val="21"/>
              </w:rPr>
              <w:t>，提供配送管理系统、冷链监控系统、患者服务管理系统等信息化系统运行的截图。</w:t>
            </w:r>
            <w:r>
              <w:rPr>
                <w:rFonts w:hint="default" w:ascii="Times New Roman" w:hAnsi="Times New Roman" w:eastAsia="宋体" w:cs="Times New Roman"/>
                <w:color w:val="auto"/>
                <w:sz w:val="21"/>
                <w:szCs w:val="21"/>
                <w:lang w:val="en-US" w:eastAsia="zh-CN"/>
              </w:rPr>
              <w:t>其中无法</w:t>
            </w:r>
            <w:r>
              <w:rPr>
                <w:rFonts w:hint="default" w:ascii="Times New Roman" w:hAnsi="Times New Roman" w:eastAsia="宋体" w:cs="Times New Roman"/>
                <w:color w:val="auto"/>
                <w:sz w:val="21"/>
                <w:szCs w:val="21"/>
              </w:rPr>
              <w:t>实现与医保信息系统有效对接</w:t>
            </w:r>
            <w:r>
              <w:rPr>
                <w:rFonts w:hint="default" w:ascii="Times New Roman" w:hAnsi="Times New Roman" w:eastAsia="宋体" w:cs="Times New Roman"/>
                <w:color w:val="auto"/>
                <w:sz w:val="21"/>
                <w:szCs w:val="21"/>
                <w:lang w:val="en-US" w:eastAsia="zh-CN"/>
              </w:rPr>
              <w:t>的</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取消遴选资格及后续定点资格。</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2.评审专家对照评分，对未能提供的材料，酌情扣分，其中：</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药房至患者侧配送管理及冷链全程实时监控系统：包括系统能够管理到药品电子监管码，从而能够分辨配送给患者的是哪一盒药；系统对于药品配送有清晰的记录，配送给谁、谁送货、何时出发、何时送到；系统能够实时接收专用冷链箱在配送途中回传的温度和位置数据，可以根据业务需要设置回传的频率；对于冷链药品，在配送管理系统中能够清晰展现配送全程的途中温度状况及配送路线，从而确保药品出库地点和配送起止时间和实际情况匹配；配送管理系统能够对配送途中的超温情况通过颜色或声音给出提醒。</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以上没有信息化管理得0分，有系统但功能不健全，每少一项扣1分，扣完</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分为止。</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患者服务管理信息化：包括系统能够清楚记录哪个患者购买了何种药品，以便于随后围绕此患者使用的具体药品情况开展售后服务；系统能够管理维护针对患者的服务计划；系统能够根据患者服务计划自动创建服务任务，并将任务分配给指定客服人员或执业药师开展服务；系统能够清晰记录开展的一系列服务情况，如谁什么时候联系了患者，做了什么服务（用药提醒、用药指导、随访跟踪、赠药提醒等）；系统能够提供患者服务执行的时效管理，对于超过服务时限的任务能够给予药房管理人员明显地提醒。</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以上没有信息化管理得0分，有系统但功能不健全，每少一项扣1分，扣完</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1064"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三、</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服务能力</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（35分）</w:t>
            </w: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15</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配送服务</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申请药店具备将</w:t>
            </w:r>
            <w:r>
              <w:rPr>
                <w:rFonts w:hint="default" w:ascii="Times New Roman" w:hAnsi="Times New Roman" w:eastAsia="宋体" w:cs="Times New Roman"/>
                <w:color w:val="auto"/>
                <w:sz w:val="21"/>
                <w:szCs w:val="21"/>
                <w:lang w:val="en-US" w:eastAsia="zh-CN"/>
              </w:rPr>
              <w:t>药品</w:t>
            </w:r>
            <w:r>
              <w:rPr>
                <w:rFonts w:hint="default" w:ascii="Times New Roman" w:hAnsi="Times New Roman" w:eastAsia="宋体" w:cs="Times New Roman"/>
                <w:color w:val="auto"/>
                <w:sz w:val="21"/>
                <w:szCs w:val="21"/>
              </w:rPr>
              <w:t>按时保质配送到</w:t>
            </w:r>
            <w:r>
              <w:rPr>
                <w:rFonts w:hint="default" w:ascii="Times New Roman" w:hAnsi="Times New Roman" w:eastAsia="宋体" w:cs="Times New Roman"/>
                <w:color w:val="auto"/>
                <w:sz w:val="21"/>
                <w:szCs w:val="21"/>
                <w:lang w:val="en-US" w:eastAsia="zh-CN"/>
              </w:rPr>
              <w:t>责任医师</w:t>
            </w:r>
            <w:r>
              <w:rPr>
                <w:rFonts w:hint="default" w:ascii="Times New Roman" w:hAnsi="Times New Roman" w:eastAsia="宋体" w:cs="Times New Roman"/>
                <w:color w:val="auto"/>
                <w:sz w:val="21"/>
                <w:szCs w:val="21"/>
              </w:rPr>
              <w:t>或指定地点的能力。有明确的配送操作规程的得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分，有近一年的配送服务信息化记录的得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分，有零售专用冷链配送设备的得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1.申请药店提供配送操作规程、配送服务信息化记录截图、患者签收单据复印件、零售专用冷链配送设备照片及认证文件等复印件。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2.评审专家查看提供的材料，按下列标准酌情打分：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（1）有清晰完整配送操作规程制度文件的，得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（2）患者签收单据和配送管理信息系统记录完整一致的，得</w:t>
            </w:r>
            <w:r>
              <w:rPr>
                <w:rFonts w:hint="eastAsia" w:eastAsia="宋体" w:cs="Times New Roman"/>
                <w:color w:val="auto"/>
                <w:sz w:val="21"/>
                <w:szCs w:val="21"/>
                <w:lang w:val="en-US" w:eastAsia="zh-CN"/>
              </w:rPr>
              <w:t>5</w:t>
            </w:r>
            <w:r>
              <w:rPr>
                <w:rFonts w:hint="default" w:ascii="Times New Roman" w:hAnsi="Times New Roman" w:eastAsia="宋体" w:cs="Times New Roman"/>
                <w:color w:val="auto"/>
                <w:sz w:val="21"/>
                <w:szCs w:val="21"/>
              </w:rPr>
              <w:t>分。</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（3）能将冷链箱内温度和位置数据实时传送药店信息管理系统的得</w:t>
            </w:r>
            <w:r>
              <w:rPr>
                <w:rFonts w:hint="eastAsia" w:eastAsia="宋体" w:cs="Times New Roman"/>
                <w:color w:val="auto"/>
                <w:sz w:val="21"/>
                <w:szCs w:val="21"/>
                <w:lang w:val="en-US" w:eastAsia="zh-CN"/>
              </w:rPr>
              <w:t>3</w:t>
            </w:r>
            <w:r>
              <w:rPr>
                <w:rFonts w:hint="default" w:ascii="Times New Roman" w:hAnsi="Times New Roman" w:eastAsia="宋体" w:cs="Times New Roman"/>
                <w:color w:val="auto"/>
                <w:sz w:val="21"/>
                <w:szCs w:val="21"/>
              </w:rPr>
              <w:t>分；冷链箱通过第三方验证的，</w:t>
            </w:r>
            <w:r>
              <w:rPr>
                <w:rFonts w:hint="eastAsia" w:eastAsia="宋体" w:cs="Times New Roman"/>
                <w:color w:val="auto"/>
                <w:sz w:val="21"/>
                <w:szCs w:val="21"/>
                <w:lang w:val="en-US" w:eastAsia="zh-CN"/>
              </w:rPr>
              <w:t>加</w:t>
            </w:r>
            <w:r>
              <w:rPr>
                <w:rFonts w:hint="default" w:ascii="Times New Roman" w:hAnsi="Times New Roman" w:eastAsia="宋体" w:cs="Times New Roman"/>
                <w:color w:val="auto"/>
                <w:sz w:val="21"/>
                <w:szCs w:val="21"/>
              </w:rPr>
              <w:t>2分</w:t>
            </w:r>
            <w:r>
              <w:rPr>
                <w:rFonts w:hint="eastAsia" w:eastAsia="宋体" w:cs="Times New Roman"/>
                <w:color w:val="auto"/>
                <w:sz w:val="21"/>
                <w:szCs w:val="21"/>
                <w:lang w:eastAsia="zh-CN"/>
              </w:rPr>
              <w:t>，</w:t>
            </w:r>
            <w:r>
              <w:rPr>
                <w:rFonts w:hint="eastAsia" w:eastAsia="宋体" w:cs="Times New Roman"/>
                <w:color w:val="auto"/>
                <w:sz w:val="21"/>
                <w:szCs w:val="21"/>
                <w:lang w:val="en-US" w:eastAsia="zh-CN"/>
              </w:rPr>
              <w:t>满分5分</w:t>
            </w: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10</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谈判药品</w:t>
            </w:r>
            <w:r>
              <w:rPr>
                <w:rFonts w:hint="default" w:ascii="Times New Roman" w:hAnsi="Times New Roman" w:eastAsia="宋体" w:cs="Times New Roman"/>
                <w:color w:val="auto"/>
                <w:sz w:val="21"/>
                <w:szCs w:val="21"/>
                <w:highlight w:val="none"/>
              </w:rPr>
              <w:t>销售</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申请药店2017年1月1日至今，每销售过1种</w:t>
            </w:r>
            <w:r>
              <w:rPr>
                <w:rFonts w:hint="default" w:ascii="Times New Roman" w:hAnsi="Times New Roman" w:eastAsia="宋体" w:cs="Times New Roman"/>
                <w:color w:val="auto"/>
                <w:sz w:val="21"/>
                <w:szCs w:val="21"/>
                <w:highlight w:val="none"/>
                <w:lang w:eastAsia="zh-CN"/>
              </w:rPr>
              <w:t>国家医保谈判药品</w:t>
            </w:r>
            <w:r>
              <w:rPr>
                <w:rFonts w:hint="default" w:ascii="Times New Roman" w:hAnsi="Times New Roman" w:eastAsia="宋体" w:cs="Times New Roman"/>
                <w:color w:val="auto"/>
                <w:sz w:val="21"/>
                <w:szCs w:val="21"/>
                <w:highlight w:val="none"/>
              </w:rPr>
              <w:t>相关品种的得</w:t>
            </w: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分，满分</w:t>
            </w:r>
            <w:r>
              <w:rPr>
                <w:rFonts w:hint="eastAsia"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1.申请药店提供相关药品进销发票（单据）复印件、进销存系统记录。</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2.评审专家按规定时间段内有进销记录的</w:t>
            </w:r>
            <w:r>
              <w:rPr>
                <w:rFonts w:hint="default" w:ascii="Times New Roman" w:hAnsi="Times New Roman" w:eastAsia="宋体" w:cs="Times New Roman"/>
                <w:color w:val="auto"/>
                <w:sz w:val="21"/>
                <w:szCs w:val="21"/>
                <w:highlight w:val="none"/>
                <w:lang w:eastAsia="zh-CN"/>
              </w:rPr>
              <w:t>国家医保谈判药品</w:t>
            </w:r>
            <w:r>
              <w:rPr>
                <w:rFonts w:hint="default" w:ascii="Times New Roman" w:hAnsi="Times New Roman" w:eastAsia="宋体" w:cs="Times New Roman"/>
                <w:color w:val="auto"/>
                <w:sz w:val="21"/>
                <w:szCs w:val="21"/>
                <w:highlight w:val="none"/>
              </w:rPr>
              <w:t>内品种计数打分，进销发票（单据）与进销存系统记录要保持一致。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1064"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谈判药品储备率</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申请药店（或连锁企业）具备较强的国家医保谈判药品储备、供给能力，能提供国家2020年谈判药品目录60%药品的得4分，每超过10%加1分，满分7分。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申请药店（或连锁企业）以正式承诺形式（加盖公章）提供谈判药品储备清单并标明数量，原则上药品供应能力在今后的经营中不得低于申请定点时承诺标准，否则将予以相应处罚直至取消定点资格。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1064"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default" w:ascii="Times New Roman" w:hAnsi="Times New Roman" w:eastAsia="宋体" w:cs="Times New Roman"/>
                <w:b/>
                <w:color w:val="auto"/>
                <w:sz w:val="21"/>
                <w:szCs w:val="21"/>
              </w:rPr>
            </w:pPr>
          </w:p>
        </w:tc>
        <w:tc>
          <w:tcPr>
            <w:tcW w:w="8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eastAsia="宋体" w:cs="Times New Roman"/>
                <w:color w:val="auto"/>
                <w:sz w:val="21"/>
                <w:szCs w:val="21"/>
                <w:highlight w:val="none"/>
                <w:lang w:val="en-US" w:eastAsia="zh-CN"/>
              </w:rPr>
              <w:t>3</w:t>
            </w:r>
          </w:p>
        </w:tc>
        <w:tc>
          <w:tcPr>
            <w:tcW w:w="11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慈善服务</w:t>
            </w:r>
          </w:p>
        </w:tc>
        <w:tc>
          <w:tcPr>
            <w:tcW w:w="36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申请药店（或连锁企业）</w:t>
            </w:r>
            <w:r>
              <w:rPr>
                <w:rFonts w:hint="default" w:ascii="Times New Roman" w:hAnsi="Times New Roman" w:eastAsia="宋体" w:cs="Times New Roman"/>
                <w:color w:val="auto"/>
                <w:sz w:val="21"/>
                <w:szCs w:val="21"/>
                <w:highlight w:val="none"/>
              </w:rPr>
              <w:t>202</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年</w:t>
            </w: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月</w:t>
            </w:r>
            <w:r>
              <w:rPr>
                <w:rFonts w:hint="eastAsia"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日前被认定</w:t>
            </w:r>
            <w:r>
              <w:rPr>
                <w:rFonts w:hint="default" w:ascii="Times New Roman" w:hAnsi="Times New Roman" w:eastAsia="宋体" w:cs="Times New Roman"/>
                <w:color w:val="auto"/>
                <w:sz w:val="21"/>
                <w:szCs w:val="21"/>
                <w:highlight w:val="none"/>
                <w:lang w:val="en-US" w:eastAsia="zh-CN"/>
              </w:rPr>
              <w:t>过</w:t>
            </w:r>
            <w:r>
              <w:rPr>
                <w:rFonts w:hint="default" w:ascii="Times New Roman" w:hAnsi="Times New Roman" w:eastAsia="宋体" w:cs="Times New Roman"/>
                <w:color w:val="auto"/>
                <w:sz w:val="21"/>
                <w:szCs w:val="21"/>
                <w:highlight w:val="none"/>
              </w:rPr>
              <w:t>慈善赠药发放点的得</w:t>
            </w: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申请药店当前在做赠药发放的，每有一个慈善赠药品种得</w:t>
            </w:r>
            <w:r>
              <w:rPr>
                <w:rFonts w:hint="eastAsia" w:ascii="Times New Roman" w:hAnsi="Times New Roman" w:eastAsia="宋体" w:cs="Times New Roman"/>
                <w:color w:val="auto"/>
                <w:sz w:val="21"/>
                <w:szCs w:val="21"/>
                <w:highlight w:val="none"/>
                <w:lang w:val="en-US" w:eastAsia="zh-CN"/>
              </w:rPr>
              <w:t>0.5</w:t>
            </w:r>
            <w:r>
              <w:rPr>
                <w:rFonts w:hint="default" w:ascii="Times New Roman" w:hAnsi="Times New Roman" w:eastAsia="宋体" w:cs="Times New Roman"/>
                <w:color w:val="auto"/>
                <w:sz w:val="21"/>
                <w:szCs w:val="21"/>
                <w:highlight w:val="none"/>
              </w:rPr>
              <w:t>分，最多</w:t>
            </w:r>
            <w:r>
              <w:rPr>
                <w:rFonts w:hint="eastAsia" w:eastAsia="宋体" w:cs="Times New Roman"/>
                <w:color w:val="auto"/>
                <w:sz w:val="21"/>
                <w:szCs w:val="21"/>
                <w:highlight w:val="none"/>
                <w:lang w:val="en-US" w:eastAsia="zh-CN"/>
              </w:rPr>
              <w:t>加1</w:t>
            </w:r>
            <w:r>
              <w:rPr>
                <w:rFonts w:hint="default" w:ascii="Times New Roman" w:hAnsi="Times New Roman" w:eastAsia="宋体" w:cs="Times New Roman"/>
                <w:color w:val="auto"/>
                <w:sz w:val="21"/>
                <w:szCs w:val="21"/>
                <w:highlight w:val="none"/>
              </w:rPr>
              <w:t>分。满分</w:t>
            </w:r>
            <w:r>
              <w:rPr>
                <w:rFonts w:hint="eastAsia"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tc>
        <w:tc>
          <w:tcPr>
            <w:tcW w:w="767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eastAsia" w:eastAsia="宋体" w:cs="Times New Roman"/>
                <w:color w:val="auto"/>
                <w:sz w:val="21"/>
                <w:szCs w:val="21"/>
                <w:highlight w:val="none"/>
                <w:lang w:val="en-US" w:eastAsia="zh-CN"/>
              </w:rPr>
              <w:t>申请药店（或连锁企业）</w:t>
            </w:r>
            <w:r>
              <w:rPr>
                <w:rFonts w:hint="default" w:ascii="Times New Roman" w:hAnsi="Times New Roman" w:eastAsia="宋体" w:cs="Times New Roman"/>
                <w:color w:val="auto"/>
                <w:sz w:val="21"/>
                <w:szCs w:val="21"/>
                <w:highlight w:val="none"/>
              </w:rPr>
              <w:t>提供慈善赠药发药点协议授权及赠药发放记录复印件。</w:t>
            </w:r>
          </w:p>
          <w:p>
            <w:pPr>
              <w:keepNext w:val="0"/>
              <w:keepLines w:val="0"/>
              <w:pageBreakBefore w:val="0"/>
              <w:widowControl w:val="0"/>
              <w:kinsoku/>
              <w:wordWrap/>
              <w:overflowPunct/>
              <w:topLinePunct w:val="0"/>
              <w:autoSpaceDE/>
              <w:autoSpaceDN/>
              <w:bidi w:val="0"/>
              <w:adjustRightInd/>
              <w:snapToGrid/>
              <w:spacing w:line="300" w:lineRule="exact"/>
              <w:ind w:firstLine="0" w:firstLine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2.评审专家根据申请药店提供材料逐项打分。</w:t>
            </w:r>
          </w:p>
        </w:tc>
      </w:tr>
    </w:tbl>
    <w:p>
      <w:pPr>
        <w:pStyle w:val="2"/>
        <w:rPr>
          <w:rFonts w:hint="default"/>
          <w:color w:val="auto"/>
          <w:lang w:val="en-US" w:eastAsia="zh-CN"/>
        </w:rPr>
        <w:sectPr>
          <w:pgSz w:w="16838" w:h="11906" w:orient="landscape"/>
          <w:pgMar w:top="1304" w:right="1417" w:bottom="1304" w:left="1417" w:header="851" w:footer="992" w:gutter="0"/>
          <w:cols w:space="0" w:num="1"/>
          <w:rtlGutter w:val="0"/>
          <w:docGrid w:type="lines" w:linePitch="631" w:charSpace="0"/>
        </w:sectPr>
      </w:pPr>
    </w:p>
    <w:p>
      <w:pPr>
        <w:pStyle w:val="4"/>
        <w:bidi w:val="0"/>
        <w:ind w:left="0" w:leftChars="0" w:firstLine="0" w:firstLineChars="0"/>
        <w:rPr>
          <w:rFonts w:hint="eastAsia"/>
          <w:color w:val="auto"/>
          <w:lang w:eastAsia="zh-CN"/>
        </w:rPr>
      </w:pPr>
      <w:r>
        <w:rPr>
          <w:rFonts w:hint="eastAsia"/>
          <w:color w:val="auto"/>
        </w:rPr>
        <w:t>附件</w:t>
      </w:r>
      <w:r>
        <w:rPr>
          <w:rFonts w:hint="eastAsia"/>
          <w:color w:val="auto"/>
          <w:lang w:val="en-US" w:eastAsia="zh-CN"/>
        </w:rPr>
        <w:t>三</w:t>
      </w:r>
      <w:r>
        <w:rPr>
          <w:rFonts w:hint="eastAsia"/>
          <w:color w:val="auto"/>
          <w:lang w:eastAsia="zh-CN"/>
        </w:rPr>
        <w:t>：</w:t>
      </w:r>
    </w:p>
    <w:p>
      <w:pPr>
        <w:pStyle w:val="3"/>
        <w:keepNext w:val="0"/>
        <w:keepLines w:val="0"/>
        <w:pageBreakBefore w:val="0"/>
        <w:widowControl w:val="0"/>
        <w:kinsoku/>
        <w:wordWrap/>
        <w:overflowPunct/>
        <w:topLinePunct w:val="0"/>
        <w:autoSpaceDE/>
        <w:autoSpaceDN/>
        <w:bidi w:val="0"/>
        <w:adjustRightInd/>
        <w:snapToGrid/>
        <w:spacing w:after="318" w:afterLines="50"/>
        <w:textAlignment w:val="auto"/>
        <w:rPr>
          <w:rFonts w:hint="eastAsia"/>
          <w:color w:val="auto"/>
          <w:lang w:val="en-US" w:eastAsia="zh-CN"/>
        </w:rPr>
      </w:pPr>
      <w:r>
        <w:rPr>
          <w:rFonts w:hint="eastAsia"/>
          <w:color w:val="auto"/>
          <w:lang w:val="en-US" w:eastAsia="zh-CN"/>
        </w:rPr>
        <w:t>铜陵市</w:t>
      </w:r>
      <w:r>
        <w:rPr>
          <w:rFonts w:hint="eastAsia"/>
          <w:color w:val="auto"/>
        </w:rPr>
        <w:t>“双通道”管理定点零售药店申请表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406"/>
        <w:gridCol w:w="1905"/>
        <w:gridCol w:w="2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26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药店名称</w:t>
            </w:r>
          </w:p>
        </w:tc>
        <w:tc>
          <w:tcPr>
            <w:tcW w:w="6795" w:type="dxa"/>
            <w:gridSpan w:val="3"/>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26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单位地址</w:t>
            </w:r>
          </w:p>
        </w:tc>
        <w:tc>
          <w:tcPr>
            <w:tcW w:w="6795" w:type="dxa"/>
            <w:gridSpan w:val="3"/>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26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eastAsia"/>
                <w:color w:val="auto"/>
                <w:sz w:val="32"/>
                <w:szCs w:val="32"/>
                <w:vertAlign w:val="baseline"/>
                <w:lang w:val="en-US" w:eastAsia="zh-CN"/>
              </w:rPr>
            </w:pPr>
            <w:r>
              <w:rPr>
                <w:rFonts w:hint="eastAsia"/>
                <w:color w:val="auto"/>
                <w:sz w:val="32"/>
                <w:szCs w:val="32"/>
                <w:vertAlign w:val="baseline"/>
                <w:lang w:val="en-US" w:eastAsia="zh-CN"/>
              </w:rPr>
              <w:t>统一社会</w:t>
            </w:r>
          </w:p>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信用代码</w:t>
            </w:r>
          </w:p>
        </w:tc>
        <w:tc>
          <w:tcPr>
            <w:tcW w:w="2406"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c>
          <w:tcPr>
            <w:tcW w:w="190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eastAsia"/>
                <w:color w:val="auto"/>
                <w:sz w:val="32"/>
                <w:szCs w:val="32"/>
                <w:vertAlign w:val="baseline"/>
                <w:lang w:val="en-US" w:eastAsia="zh-CN"/>
              </w:rPr>
            </w:pPr>
            <w:r>
              <w:rPr>
                <w:rFonts w:hint="eastAsia"/>
                <w:color w:val="auto"/>
                <w:sz w:val="32"/>
                <w:szCs w:val="32"/>
                <w:vertAlign w:val="baseline"/>
                <w:lang w:val="en-US" w:eastAsia="zh-CN"/>
              </w:rPr>
              <w:t>同一平面</w:t>
            </w:r>
          </w:p>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经营面积</w:t>
            </w:r>
          </w:p>
        </w:tc>
        <w:tc>
          <w:tcPr>
            <w:tcW w:w="2484"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26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eastAsia"/>
                <w:color w:val="auto"/>
                <w:sz w:val="32"/>
                <w:szCs w:val="32"/>
                <w:vertAlign w:val="baseline"/>
                <w:lang w:val="en-US" w:eastAsia="zh-CN"/>
              </w:rPr>
            </w:pPr>
            <w:r>
              <w:rPr>
                <w:rFonts w:hint="eastAsia"/>
                <w:color w:val="auto"/>
                <w:sz w:val="32"/>
                <w:szCs w:val="32"/>
                <w:vertAlign w:val="baseline"/>
                <w:lang w:val="en-US" w:eastAsia="zh-CN"/>
              </w:rPr>
              <w:t>法定代表</w:t>
            </w:r>
          </w:p>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（负责人）</w:t>
            </w:r>
          </w:p>
        </w:tc>
        <w:tc>
          <w:tcPr>
            <w:tcW w:w="2406"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c>
          <w:tcPr>
            <w:tcW w:w="190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eastAsia"/>
                <w:color w:val="auto"/>
                <w:sz w:val="32"/>
                <w:szCs w:val="32"/>
                <w:vertAlign w:val="baseline"/>
                <w:lang w:val="en-US" w:eastAsia="zh-CN"/>
              </w:rPr>
            </w:pPr>
            <w:r>
              <w:rPr>
                <w:rFonts w:hint="eastAsia"/>
                <w:color w:val="auto"/>
                <w:sz w:val="32"/>
                <w:szCs w:val="32"/>
                <w:vertAlign w:val="baseline"/>
                <w:lang w:val="en-US" w:eastAsia="zh-CN"/>
              </w:rPr>
              <w:t>执业药师</w:t>
            </w:r>
          </w:p>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人数</w:t>
            </w:r>
          </w:p>
        </w:tc>
        <w:tc>
          <w:tcPr>
            <w:tcW w:w="2484"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26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联系人</w:t>
            </w:r>
          </w:p>
        </w:tc>
        <w:tc>
          <w:tcPr>
            <w:tcW w:w="2406"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c>
          <w:tcPr>
            <w:tcW w:w="1905"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r>
              <w:rPr>
                <w:rFonts w:hint="eastAsia"/>
                <w:color w:val="auto"/>
                <w:sz w:val="32"/>
                <w:szCs w:val="32"/>
                <w:vertAlign w:val="baseline"/>
                <w:lang w:val="en-US" w:eastAsia="zh-CN"/>
              </w:rPr>
              <w:t>联系电话</w:t>
            </w:r>
          </w:p>
        </w:tc>
        <w:tc>
          <w:tcPr>
            <w:tcW w:w="2484" w:type="dxa"/>
            <w:vAlign w:val="center"/>
          </w:tcPr>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baseline"/>
              <w:rPr>
                <w:rFonts w:hint="default"/>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5" w:hRule="atLeast"/>
        </w:trPr>
        <w:tc>
          <w:tcPr>
            <w:tcW w:w="9060" w:type="dxa"/>
            <w:gridSpan w:val="4"/>
          </w:tcPr>
          <w:p>
            <w:pPr>
              <w:pStyle w:val="2"/>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baseline"/>
              <w:rPr>
                <w:rFonts w:hint="eastAsia"/>
                <w:color w:val="auto"/>
                <w:sz w:val="32"/>
                <w:szCs w:val="32"/>
                <w:vertAlign w:val="baseline"/>
                <w:lang w:val="en-US" w:eastAsia="zh-CN"/>
              </w:rPr>
            </w:pPr>
            <w:r>
              <w:rPr>
                <w:rFonts w:hint="eastAsia" w:ascii="黑体" w:hAnsi="黑体" w:eastAsia="黑体" w:cs="黑体"/>
                <w:b w:val="0"/>
                <w:bCs w:val="0"/>
                <w:color w:val="auto"/>
                <w:sz w:val="32"/>
                <w:szCs w:val="32"/>
                <w:vertAlign w:val="baseline"/>
                <w:lang w:val="en-US" w:eastAsia="zh-CN"/>
              </w:rPr>
              <w:t>承  诺</w:t>
            </w:r>
          </w:p>
          <w:p>
            <w:pPr>
              <w:pStyle w:val="2"/>
              <w:keepNext w:val="0"/>
              <w:keepLines w:val="0"/>
              <w:pageBreakBefore w:val="0"/>
              <w:widowControl w:val="0"/>
              <w:kinsoku/>
              <w:wordWrap/>
              <w:overflowPunct/>
              <w:topLinePunct w:val="0"/>
              <w:autoSpaceDE/>
              <w:autoSpaceDN/>
              <w:bidi w:val="0"/>
              <w:adjustRightInd/>
              <w:snapToGrid/>
              <w:spacing w:line="640" w:lineRule="exact"/>
              <w:ind w:firstLine="0" w:firstLineChars="0"/>
              <w:jc w:val="both"/>
              <w:textAlignment w:val="baseline"/>
              <w:rPr>
                <w:rFonts w:hint="eastAsia"/>
                <w:color w:val="auto"/>
                <w:sz w:val="32"/>
                <w:szCs w:val="32"/>
                <w:vertAlign w:val="baseline"/>
                <w:lang w:val="en-US" w:eastAsia="zh-CN"/>
              </w:rPr>
            </w:pPr>
            <w:r>
              <w:rPr>
                <w:rFonts w:hint="eastAsia"/>
                <w:color w:val="auto"/>
                <w:sz w:val="32"/>
                <w:szCs w:val="32"/>
                <w:u w:val="none"/>
                <w:vertAlign w:val="baseline"/>
                <w:lang w:val="en-US" w:eastAsia="zh-CN"/>
              </w:rPr>
              <w:t>铜陵市</w:t>
            </w:r>
            <w:r>
              <w:rPr>
                <w:rFonts w:hint="eastAsia"/>
                <w:color w:val="auto"/>
                <w:sz w:val="32"/>
                <w:szCs w:val="32"/>
                <w:vertAlign w:val="baseline"/>
                <w:lang w:val="en-US" w:eastAsia="zh-CN"/>
              </w:rPr>
              <w:t>医保局：</w:t>
            </w:r>
          </w:p>
          <w:p>
            <w:pPr>
              <w:pStyle w:val="2"/>
              <w:keepNext w:val="0"/>
              <w:keepLines w:val="0"/>
              <w:pageBreakBefore w:val="0"/>
              <w:widowControl w:val="0"/>
              <w:kinsoku/>
              <w:wordWrap/>
              <w:overflowPunct/>
              <w:topLinePunct w:val="0"/>
              <w:autoSpaceDE/>
              <w:autoSpaceDN/>
              <w:bidi w:val="0"/>
              <w:adjustRightInd/>
              <w:snapToGrid/>
              <w:spacing w:line="640" w:lineRule="exact"/>
              <w:ind w:firstLine="0" w:firstLineChars="0"/>
              <w:jc w:val="both"/>
              <w:textAlignment w:val="baseline"/>
              <w:rPr>
                <w:rFonts w:hint="eastAsia"/>
                <w:color w:val="auto"/>
                <w:lang w:val="en-US" w:eastAsia="zh-CN"/>
              </w:rPr>
            </w:pPr>
            <w:r>
              <w:rPr>
                <w:rFonts w:hint="eastAsia"/>
                <w:color w:val="auto"/>
                <w:sz w:val="32"/>
                <w:szCs w:val="32"/>
                <w:vertAlign w:val="baseline"/>
                <w:lang w:val="en-US" w:eastAsia="zh-CN"/>
              </w:rPr>
              <w:t xml:space="preserve">    </w:t>
            </w:r>
            <w:r>
              <w:rPr>
                <w:rFonts w:hint="eastAsia"/>
                <w:color w:val="auto"/>
                <w:sz w:val="32"/>
                <w:szCs w:val="32"/>
                <w:u w:val="single"/>
                <w:vertAlign w:val="baseline"/>
                <w:lang w:val="en-US" w:eastAsia="zh-CN"/>
              </w:rPr>
              <w:t xml:space="preserve">                        </w:t>
            </w:r>
            <w:r>
              <w:rPr>
                <w:rFonts w:hint="eastAsia"/>
                <w:color w:val="auto"/>
                <w:sz w:val="32"/>
                <w:szCs w:val="32"/>
                <w:u w:val="none"/>
                <w:vertAlign w:val="baseline"/>
                <w:lang w:val="en-US" w:eastAsia="zh-CN"/>
              </w:rPr>
              <w:t>（填写药店名称）具备申报条件，现申请成为铜陵市</w:t>
            </w:r>
            <w:r>
              <w:rPr>
                <w:rFonts w:hint="eastAsia"/>
                <w:color w:val="auto"/>
              </w:rPr>
              <w:t>“双通道”管理定点零售药店</w:t>
            </w:r>
            <w:r>
              <w:rPr>
                <w:rFonts w:hint="eastAsia"/>
                <w:color w:val="auto"/>
                <w:lang w:eastAsia="zh-CN"/>
              </w:rPr>
              <w:t>，</w:t>
            </w:r>
            <w:r>
              <w:rPr>
                <w:rFonts w:hint="eastAsia"/>
                <w:color w:val="auto"/>
                <w:lang w:val="en-US" w:eastAsia="zh-CN"/>
              </w:rPr>
              <w:t>并保证申报材料的真实性。</w:t>
            </w:r>
          </w:p>
          <w:p>
            <w:pPr>
              <w:pStyle w:val="2"/>
              <w:keepNext w:val="0"/>
              <w:keepLines w:val="0"/>
              <w:pageBreakBefore w:val="0"/>
              <w:widowControl w:val="0"/>
              <w:kinsoku/>
              <w:wordWrap/>
              <w:overflowPunct/>
              <w:topLinePunct w:val="0"/>
              <w:autoSpaceDE/>
              <w:autoSpaceDN/>
              <w:bidi w:val="0"/>
              <w:adjustRightInd/>
              <w:snapToGrid/>
              <w:spacing w:line="640" w:lineRule="exact"/>
              <w:ind w:firstLine="0" w:firstLineChars="0"/>
              <w:jc w:val="both"/>
              <w:textAlignment w:val="baseline"/>
              <w:rPr>
                <w:rFonts w:hint="eastAsia"/>
                <w:color w:val="auto"/>
                <w:lang w:val="en-US" w:eastAsia="zh-CN"/>
              </w:rPr>
            </w:pPr>
          </w:p>
          <w:p>
            <w:pPr>
              <w:pStyle w:val="2"/>
              <w:keepNext w:val="0"/>
              <w:keepLines w:val="0"/>
              <w:pageBreakBefore w:val="0"/>
              <w:widowControl w:val="0"/>
              <w:kinsoku/>
              <w:wordWrap/>
              <w:overflowPunct/>
              <w:topLinePunct w:val="0"/>
              <w:autoSpaceDE/>
              <w:autoSpaceDN/>
              <w:bidi w:val="0"/>
              <w:adjustRightInd/>
              <w:snapToGrid/>
              <w:spacing w:line="640" w:lineRule="exact"/>
              <w:jc w:val="both"/>
              <w:textAlignment w:val="baseline"/>
              <w:rPr>
                <w:rFonts w:hint="eastAsia"/>
                <w:color w:val="auto"/>
                <w:lang w:val="en-US" w:eastAsia="zh-CN"/>
              </w:rPr>
            </w:pPr>
            <w:r>
              <w:rPr>
                <w:rFonts w:hint="eastAsia"/>
                <w:color w:val="auto"/>
                <w:lang w:val="en-US" w:eastAsia="zh-CN"/>
              </w:rPr>
              <w:t>法定代表（负责人）</w:t>
            </w:r>
          </w:p>
          <w:p>
            <w:pPr>
              <w:pStyle w:val="2"/>
              <w:keepNext w:val="0"/>
              <w:keepLines w:val="0"/>
              <w:pageBreakBefore w:val="0"/>
              <w:widowControl w:val="0"/>
              <w:kinsoku/>
              <w:wordWrap w:val="0"/>
              <w:overflowPunct/>
              <w:topLinePunct w:val="0"/>
              <w:autoSpaceDE/>
              <w:autoSpaceDN/>
              <w:bidi w:val="0"/>
              <w:adjustRightInd/>
              <w:snapToGrid/>
              <w:spacing w:line="640" w:lineRule="exact"/>
              <w:jc w:val="both"/>
              <w:textAlignment w:val="baseline"/>
              <w:rPr>
                <w:rFonts w:hint="default"/>
                <w:color w:val="auto"/>
                <w:lang w:val="en-US" w:eastAsia="zh-CN"/>
              </w:rPr>
            </w:pPr>
            <w:r>
              <w:rPr>
                <w:rFonts w:hint="eastAsia"/>
                <w:color w:val="auto"/>
                <w:lang w:val="en-US" w:eastAsia="zh-CN"/>
              </w:rPr>
              <w:t xml:space="preserve">    签字：                     （单位公章）</w:t>
            </w:r>
          </w:p>
          <w:p>
            <w:pPr>
              <w:pStyle w:val="2"/>
              <w:keepNext w:val="0"/>
              <w:keepLines w:val="0"/>
              <w:pageBreakBefore w:val="0"/>
              <w:widowControl w:val="0"/>
              <w:kinsoku/>
              <w:wordWrap/>
              <w:overflowPunct/>
              <w:topLinePunct w:val="0"/>
              <w:autoSpaceDE/>
              <w:autoSpaceDN/>
              <w:bidi w:val="0"/>
              <w:adjustRightInd/>
              <w:snapToGrid/>
              <w:spacing w:line="640" w:lineRule="exact"/>
              <w:ind w:firstLine="620" w:firstLineChars="0"/>
              <w:jc w:val="both"/>
              <w:textAlignment w:val="baseline"/>
              <w:rPr>
                <w:rFonts w:hint="default"/>
                <w:color w:val="auto"/>
                <w:lang w:val="en-US" w:eastAsia="zh-CN"/>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20" w:firstLineChars="0"/>
              <w:jc w:val="both"/>
              <w:textAlignment w:val="baseline"/>
              <w:rPr>
                <w:rFonts w:hint="default"/>
                <w:color w:val="auto"/>
                <w:lang w:val="en-US" w:eastAsia="zh-CN"/>
              </w:rPr>
            </w:pPr>
          </w:p>
        </w:tc>
      </w:tr>
    </w:tbl>
    <w:p>
      <w:pPr>
        <w:pStyle w:val="2"/>
        <w:rPr>
          <w:rFonts w:hint="default"/>
          <w:color w:val="auto"/>
          <w:lang w:val="en-US" w:eastAsia="zh-CN"/>
        </w:rPr>
      </w:pPr>
    </w:p>
    <w:p>
      <w:pPr>
        <w:pStyle w:val="4"/>
        <w:bidi w:val="0"/>
        <w:ind w:left="0" w:leftChars="0" w:firstLine="640" w:firstLineChars="200"/>
        <w:rPr>
          <w:rFonts w:hint="eastAsia"/>
          <w:color w:val="auto"/>
          <w:lang w:val="en-US" w:eastAsia="zh-CN"/>
        </w:rPr>
      </w:pPr>
      <w:r>
        <w:rPr>
          <w:rFonts w:hint="eastAsia"/>
          <w:color w:val="auto"/>
        </w:rPr>
        <w:t>评审材料</w:t>
      </w:r>
      <w:r>
        <w:rPr>
          <w:rFonts w:hint="eastAsia"/>
          <w:color w:val="auto"/>
          <w:lang w:val="en-US" w:eastAsia="zh-CN"/>
        </w:rPr>
        <w:t>清单（一式五份并装订成册，注明申请药店）</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申请表</w:t>
      </w:r>
      <w:r>
        <w:rPr>
          <w:rFonts w:hint="eastAsia" w:cs="Times New Roman"/>
          <w:color w:val="auto"/>
          <w:sz w:val="32"/>
          <w:szCs w:val="32"/>
          <w:lang w:eastAsia="zh-CN"/>
        </w:rPr>
        <w:t>，</w:t>
      </w:r>
      <w:r>
        <w:rPr>
          <w:rFonts w:hint="eastAsia" w:cs="Times New Roman"/>
          <w:color w:val="auto"/>
          <w:sz w:val="32"/>
          <w:szCs w:val="32"/>
          <w:lang w:val="en-US" w:eastAsia="zh-CN"/>
        </w:rPr>
        <w:t>申请</w:t>
      </w:r>
      <w:r>
        <w:rPr>
          <w:rFonts w:hint="default" w:ascii="Times New Roman" w:hAnsi="Times New Roman" w:eastAsia="仿宋_GB2312" w:cs="Times New Roman"/>
          <w:color w:val="auto"/>
          <w:sz w:val="32"/>
          <w:szCs w:val="32"/>
        </w:rPr>
        <w:t>药店</w:t>
      </w:r>
      <w:r>
        <w:rPr>
          <w:rFonts w:hint="eastAsia" w:cs="Times New Roman"/>
          <w:color w:val="auto"/>
          <w:sz w:val="32"/>
          <w:szCs w:val="32"/>
          <w:lang w:val="en-US" w:eastAsia="zh-CN"/>
        </w:rPr>
        <w:t>及所属连锁公司</w:t>
      </w:r>
      <w:r>
        <w:rPr>
          <w:rFonts w:hint="default" w:ascii="Times New Roman" w:hAnsi="Times New Roman" w:eastAsia="仿宋_GB2312" w:cs="Times New Roman"/>
          <w:color w:val="auto"/>
          <w:sz w:val="32"/>
          <w:szCs w:val="32"/>
        </w:rPr>
        <w:t>情况简介</w:t>
      </w:r>
      <w:r>
        <w:rPr>
          <w:rFonts w:hint="eastAsia" w:cs="Times New Roman"/>
          <w:color w:val="auto"/>
          <w:sz w:val="32"/>
          <w:szCs w:val="32"/>
          <w:lang w:val="en-US"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营业执照副本复印件</w:t>
      </w:r>
      <w:r>
        <w:rPr>
          <w:rFonts w:hint="eastAsia" w:cs="Times New Roman"/>
          <w:color w:val="auto"/>
          <w:sz w:val="32"/>
          <w:szCs w:val="32"/>
          <w:lang w:val="en-US"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执业药师名单、身份证、执业注册证复印件、</w:t>
      </w:r>
      <w:r>
        <w:rPr>
          <w:rFonts w:hint="default" w:ascii="Times New Roman" w:hAnsi="Times New Roman" w:eastAsia="仿宋_GB2312" w:cs="Times New Roman"/>
          <w:color w:val="auto"/>
          <w:sz w:val="32"/>
          <w:szCs w:val="32"/>
          <w:lang w:val="en-US" w:eastAsia="zh-CN"/>
        </w:rPr>
        <w:t>社</w:t>
      </w:r>
      <w:r>
        <w:rPr>
          <w:rFonts w:hint="default" w:ascii="Times New Roman" w:hAnsi="Times New Roman" w:eastAsia="仿宋_GB2312" w:cs="Times New Roman"/>
          <w:color w:val="auto"/>
          <w:sz w:val="32"/>
          <w:szCs w:val="32"/>
        </w:rPr>
        <w:t>保参保缴费记录</w:t>
      </w:r>
      <w:r>
        <w:rPr>
          <w:rFonts w:hint="eastAsia" w:cs="Times New Roman"/>
          <w:color w:val="auto"/>
          <w:sz w:val="32"/>
          <w:szCs w:val="32"/>
          <w:lang w:eastAsia="zh-CN"/>
        </w:rPr>
        <w:t>、</w:t>
      </w:r>
      <w:r>
        <w:rPr>
          <w:rFonts w:hint="eastAsia" w:cs="Times New Roman"/>
          <w:color w:val="auto"/>
          <w:sz w:val="32"/>
          <w:szCs w:val="32"/>
          <w:lang w:val="en-US" w:eastAsia="zh-CN"/>
        </w:rPr>
        <w:t>公司派遣函等</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药店标注尺寸的门店平面图、房产证或房屋租赁合同</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冷藏室、冷藏柜相关照片和专业冷链认证报告复印件</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药店平面图和咨询台、接待区照片</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医保服务协议、连锁经营相关文书复印件</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岗位清单、岗位职责及其他规章制度汇编等复印件</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无违规、无受到</w:t>
      </w:r>
      <w:r>
        <w:rPr>
          <w:rFonts w:hint="eastAsia" w:cs="Times New Roman"/>
          <w:color w:val="auto"/>
          <w:sz w:val="32"/>
          <w:szCs w:val="32"/>
          <w:lang w:val="en-US" w:eastAsia="zh-CN"/>
        </w:rPr>
        <w:t>行</w:t>
      </w:r>
      <w:r>
        <w:rPr>
          <w:rFonts w:hint="default" w:ascii="Times New Roman" w:hAnsi="Times New Roman" w:eastAsia="仿宋_GB2312" w:cs="Times New Roman"/>
          <w:color w:val="auto"/>
          <w:sz w:val="32"/>
          <w:szCs w:val="32"/>
        </w:rPr>
        <w:t>政处罚的承诺书，并加盖公章</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经营谈判药以来的谈判药购销发票(单据)、销售台账、处方册复印件，进销存系统记录</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谈判药销售服务管理方案</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信息化建设文书复印件，配送管理系统、冷链监控系统、患者服务管理系统等信息化系统运行截图</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配送操作规程、配送服务信息化记录截图、</w:t>
      </w:r>
      <w:r>
        <w:rPr>
          <w:rFonts w:hint="default" w:ascii="Times New Roman" w:hAnsi="Times New Roman" w:eastAsia="仿宋_GB2312" w:cs="Times New Roman"/>
          <w:color w:val="auto"/>
          <w:sz w:val="32"/>
          <w:szCs w:val="32"/>
          <w:lang w:val="en-US" w:eastAsia="zh-CN"/>
        </w:rPr>
        <w:t>患</w:t>
      </w:r>
      <w:r>
        <w:rPr>
          <w:rFonts w:hint="default" w:ascii="Times New Roman" w:hAnsi="Times New Roman" w:eastAsia="仿宋_GB2312" w:cs="Times New Roman"/>
          <w:color w:val="auto"/>
          <w:sz w:val="32"/>
          <w:szCs w:val="32"/>
        </w:rPr>
        <w:t>者接收单据复印件、</w:t>
      </w:r>
      <w:r>
        <w:rPr>
          <w:rFonts w:hint="default" w:ascii="Times New Roman" w:hAnsi="Times New Roman" w:eastAsia="仿宋_GB2312" w:cs="Times New Roman"/>
          <w:color w:val="auto"/>
          <w:sz w:val="32"/>
          <w:szCs w:val="32"/>
          <w:lang w:val="en-US" w:eastAsia="zh-CN"/>
        </w:rPr>
        <w:t>零售</w:t>
      </w:r>
      <w:r>
        <w:rPr>
          <w:rFonts w:hint="default" w:ascii="Times New Roman" w:hAnsi="Times New Roman" w:eastAsia="仿宋_GB2312" w:cs="Times New Roman"/>
          <w:color w:val="auto"/>
          <w:sz w:val="32"/>
          <w:szCs w:val="32"/>
        </w:rPr>
        <w:t>专用冷链配送设配照片及认证文件等复印件</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eastAsia" w:cs="Times New Roman"/>
          <w:color w:val="auto"/>
          <w:sz w:val="32"/>
          <w:szCs w:val="32"/>
          <w:lang w:val="en-US" w:eastAsia="zh-CN"/>
        </w:rPr>
        <w:t>谈判药品储备能力承诺书；</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慈善赠药授权协议及赠药发放记录复印件</w:t>
      </w:r>
      <w:r>
        <w:rPr>
          <w:rFonts w:hint="eastAsia" w:ascii="Times New Roman" w:hAnsi="Times New Roman" w:cs="Times New Roman"/>
          <w:color w:val="auto"/>
          <w:sz w:val="32"/>
          <w:szCs w:val="32"/>
          <w:lang w:eastAsia="zh-CN"/>
        </w:rPr>
        <w:t>；</w:t>
      </w:r>
    </w:p>
    <w:p>
      <w:pPr>
        <w:keepNext w:val="0"/>
        <w:keepLines w:val="0"/>
        <w:pageBreakBefore w:val="0"/>
        <w:widowControl w:val="0"/>
        <w:numPr>
          <w:ilvl w:val="0"/>
          <w:numId w:val="1"/>
        </w:numPr>
        <w:tabs>
          <w:tab w:val="left" w:pos="397"/>
        </w:tabs>
        <w:kinsoku/>
        <w:wordWrap/>
        <w:overflowPunct/>
        <w:topLinePunct w:val="0"/>
        <w:autoSpaceDE/>
        <w:autoSpaceDN/>
        <w:bidi w:val="0"/>
        <w:adjustRightInd/>
        <w:snapToGrid/>
        <w:spacing w:line="240" w:lineRule="auto"/>
        <w:ind w:left="0" w:leftChars="0" w:firstLine="640" w:firstLineChars="200"/>
        <w:textAlignment w:val="auto"/>
        <w:rPr>
          <w:rFonts w:hint="default" w:ascii="Times New Roman" w:hAnsi="Times New Roman" w:cs="Times New Roman"/>
          <w:color w:val="auto"/>
          <w:lang w:val="en-US" w:eastAsia="zh-CN"/>
        </w:rPr>
      </w:pPr>
      <w:r>
        <w:rPr>
          <w:rFonts w:hint="default" w:ascii="Times New Roman" w:hAnsi="Times New Roman" w:eastAsia="仿宋_GB2312" w:cs="Times New Roman"/>
          <w:color w:val="auto"/>
          <w:sz w:val="32"/>
          <w:szCs w:val="32"/>
        </w:rPr>
        <w:t>其他根据评分标准</w:t>
      </w:r>
      <w:r>
        <w:rPr>
          <w:rFonts w:hint="eastAsia" w:ascii="Times New Roman" w:hAnsi="Times New Roman" w:cs="Times New Roman"/>
          <w:color w:val="auto"/>
          <w:sz w:val="32"/>
          <w:szCs w:val="32"/>
          <w:lang w:val="en-US" w:eastAsia="zh-CN"/>
        </w:rPr>
        <w:t>需要或药店</w:t>
      </w:r>
      <w:r>
        <w:rPr>
          <w:rFonts w:hint="eastAsia" w:cs="Times New Roman"/>
          <w:color w:val="auto"/>
          <w:sz w:val="32"/>
          <w:szCs w:val="32"/>
          <w:lang w:val="en-US" w:eastAsia="zh-CN"/>
        </w:rPr>
        <w:t>认为需要提供</w:t>
      </w:r>
      <w:r>
        <w:rPr>
          <w:rFonts w:hint="default" w:ascii="Times New Roman" w:hAnsi="Times New Roman" w:eastAsia="仿宋_GB2312" w:cs="Times New Roman"/>
          <w:color w:val="auto"/>
          <w:sz w:val="32"/>
          <w:szCs w:val="32"/>
        </w:rPr>
        <w:t>的材料。</w:t>
      </w:r>
      <w:r>
        <w:rPr>
          <w:rFonts w:hint="default" w:ascii="Times New Roman" w:hAnsi="Times New Roman" w:eastAsia="仿宋_GB2312" w:cs="Times New Roman"/>
          <w:color w:val="auto"/>
          <w:sz w:val="32"/>
          <w:szCs w:val="32"/>
        </w:rPr>
        <w:br w:type="page"/>
      </w:r>
    </w:p>
    <w:p>
      <w:pPr>
        <w:pStyle w:val="4"/>
        <w:bidi w:val="0"/>
        <w:ind w:left="0" w:leftChars="0" w:firstLine="0" w:firstLineChars="0"/>
        <w:rPr>
          <w:rFonts w:hint="eastAsia"/>
          <w:lang w:eastAsia="zh-CN"/>
        </w:rPr>
      </w:pPr>
      <w:r>
        <w:rPr>
          <w:rFonts w:hint="eastAsia"/>
        </w:rPr>
        <w:t>附件</w:t>
      </w:r>
      <w:r>
        <w:rPr>
          <w:rFonts w:hint="eastAsia"/>
          <w:lang w:val="en-US" w:eastAsia="zh-CN"/>
        </w:rPr>
        <w:t>四</w:t>
      </w:r>
      <w:r>
        <w:rPr>
          <w:rFonts w:hint="eastAsia"/>
          <w:lang w:eastAsia="zh-CN"/>
        </w:rPr>
        <w:t>：</w:t>
      </w:r>
    </w:p>
    <w:p>
      <w:pPr>
        <w:pStyle w:val="3"/>
        <w:keepNext w:val="0"/>
        <w:keepLines w:val="0"/>
        <w:pageBreakBefore w:val="0"/>
        <w:widowControl w:val="0"/>
        <w:kinsoku/>
        <w:wordWrap/>
        <w:overflowPunct/>
        <w:topLinePunct w:val="0"/>
        <w:autoSpaceDE/>
        <w:autoSpaceDN/>
        <w:bidi w:val="0"/>
        <w:adjustRightInd/>
        <w:snapToGrid/>
        <w:spacing w:after="318" w:afterLines="50"/>
        <w:textAlignment w:val="auto"/>
        <w:rPr>
          <w:rFonts w:hint="default" w:eastAsia="方正小标宋简体"/>
          <w:color w:val="auto"/>
          <w:w w:val="96"/>
          <w:lang w:val="en-US" w:eastAsia="zh-CN"/>
        </w:rPr>
      </w:pPr>
      <w:r>
        <w:rPr>
          <w:rFonts w:hint="eastAsia"/>
          <w:color w:val="auto"/>
          <w:w w:val="96"/>
          <w:lang w:val="en-US" w:eastAsia="zh-CN"/>
        </w:rPr>
        <w:t>铜陵市</w:t>
      </w:r>
      <w:r>
        <w:rPr>
          <w:rFonts w:hint="eastAsia"/>
          <w:color w:val="auto"/>
          <w:w w:val="96"/>
        </w:rPr>
        <w:t>“双通道”管理定点零售药店</w:t>
      </w:r>
      <w:r>
        <w:rPr>
          <w:rFonts w:hint="eastAsia"/>
          <w:color w:val="auto"/>
          <w:w w:val="96"/>
          <w:lang w:val="en-US" w:eastAsia="zh-CN"/>
        </w:rPr>
        <w:t>遴选评分表</w:t>
      </w:r>
    </w:p>
    <w:p>
      <w:pPr>
        <w:pStyle w:val="2"/>
        <w:keepNext w:val="0"/>
        <w:keepLines w:val="0"/>
        <w:pageBreakBefore w:val="0"/>
        <w:widowControl w:val="0"/>
        <w:kinsoku/>
        <w:wordWrap/>
        <w:overflowPunct/>
        <w:topLinePunct w:val="0"/>
        <w:autoSpaceDE/>
        <w:autoSpaceDN/>
        <w:bidi w:val="0"/>
        <w:adjustRightInd/>
        <w:snapToGrid/>
        <w:spacing w:after="318" w:afterLines="50" w:line="240" w:lineRule="auto"/>
        <w:ind w:left="0" w:leftChars="0" w:firstLine="640" w:firstLineChars="200"/>
        <w:jc w:val="left"/>
        <w:textAlignment w:val="baseline"/>
        <w:rPr>
          <w:rFonts w:hint="eastAsia" w:ascii="楷体_GB2312" w:hAnsi="楷体_GB2312" w:eastAsia="楷体_GB2312" w:cs="楷体_GB2312"/>
          <w:color w:val="auto"/>
          <w:sz w:val="32"/>
          <w:szCs w:val="32"/>
          <w:u w:val="single"/>
          <w:lang w:val="en-US" w:eastAsia="zh-CN"/>
        </w:rPr>
      </w:pPr>
      <w:r>
        <w:rPr>
          <w:rFonts w:hint="eastAsia" w:ascii="楷体_GB2312" w:hAnsi="楷体_GB2312" w:eastAsia="楷体_GB2312" w:cs="楷体_GB2312"/>
          <w:color w:val="auto"/>
          <w:sz w:val="32"/>
          <w:szCs w:val="32"/>
          <w:lang w:val="en-US" w:eastAsia="zh-CN"/>
        </w:rPr>
        <w:t>药店名称：</w:t>
      </w:r>
      <w:r>
        <w:rPr>
          <w:rFonts w:hint="eastAsia" w:ascii="楷体_GB2312" w:hAnsi="楷体_GB2312" w:eastAsia="楷体_GB2312" w:cs="楷体_GB2312"/>
          <w:color w:val="auto"/>
          <w:sz w:val="32"/>
          <w:szCs w:val="32"/>
          <w:u w:val="single"/>
          <w:lang w:val="en-US" w:eastAsia="zh-CN"/>
        </w:rPr>
        <w:t xml:space="preserve">                                </w:t>
      </w:r>
    </w:p>
    <w:tbl>
      <w:tblPr>
        <w:tblStyle w:val="9"/>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7"/>
        <w:gridCol w:w="1215"/>
        <w:gridCol w:w="2670"/>
        <w:gridCol w:w="1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jc w:val="center"/>
        </w:trPr>
        <w:tc>
          <w:tcPr>
            <w:tcW w:w="333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评分项目</w:t>
            </w: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满分</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评分分项</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得分情况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一、</w:t>
            </w:r>
            <w:r>
              <w:rPr>
                <w:rFonts w:hint="eastAsia" w:ascii="黑体" w:hAnsi="黑体" w:eastAsia="黑体" w:cs="黑体"/>
                <w:b w:val="0"/>
                <w:bCs/>
                <w:color w:val="auto"/>
                <w:sz w:val="28"/>
                <w:szCs w:val="28"/>
              </w:rPr>
              <w:t>基本条件（25分）</w:t>
            </w: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5</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人员资质</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6</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经营面积</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val="en-US" w:eastAsia="zh-CN"/>
              </w:rPr>
            </w:pPr>
            <w:r>
              <w:rPr>
                <w:rFonts w:hint="eastAsia" w:ascii="汉仪粗仿宋简" w:hAnsi="汉仪粗仿宋简" w:eastAsia="汉仪粗仿宋简" w:cs="汉仪粗仿宋简"/>
                <w:color w:val="auto"/>
                <w:sz w:val="28"/>
                <w:szCs w:val="28"/>
                <w:lang w:val="en-US" w:eastAsia="zh-CN"/>
              </w:rPr>
              <w:t>10</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仓储环境</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center" w:pos="1411"/>
              </w:tabs>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4</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服务环境</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二、</w:t>
            </w:r>
            <w:r>
              <w:rPr>
                <w:rFonts w:hint="eastAsia" w:ascii="黑体" w:hAnsi="黑体" w:eastAsia="黑体" w:cs="黑体"/>
                <w:b w:val="0"/>
                <w:bCs/>
                <w:color w:val="auto"/>
                <w:sz w:val="28"/>
                <w:szCs w:val="28"/>
              </w:rPr>
              <w:t>管理能力（40分）</w:t>
            </w: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2</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服务资质</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b/>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7</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规章制度</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5</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违规情况</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eastAsia="zh-CN"/>
              </w:rPr>
            </w:pPr>
            <w:r>
              <w:rPr>
                <w:rFonts w:hint="eastAsia" w:ascii="汉仪粗仿宋简" w:hAnsi="汉仪粗仿宋简" w:eastAsia="汉仪粗仿宋简" w:cs="汉仪粗仿宋简"/>
                <w:color w:val="auto"/>
                <w:sz w:val="28"/>
                <w:szCs w:val="28"/>
                <w:lang w:val="en-US" w:eastAsia="zh-CN"/>
              </w:rPr>
              <w:t>5</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台账管理</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kern w:val="2"/>
                <w:sz w:val="28"/>
                <w:szCs w:val="28"/>
                <w:lang w:val="en-US" w:eastAsia="zh-CN" w:bidi="ar-SA"/>
              </w:rPr>
            </w:pPr>
            <w:r>
              <w:rPr>
                <w:rFonts w:hint="eastAsia" w:ascii="汉仪粗仿宋简" w:hAnsi="汉仪粗仿宋简" w:eastAsia="汉仪粗仿宋简" w:cs="汉仪粗仿宋简"/>
                <w:color w:val="auto"/>
                <w:sz w:val="28"/>
                <w:szCs w:val="28"/>
                <w:lang w:val="en-US" w:eastAsia="zh-CN"/>
              </w:rPr>
              <w:t>6</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kern w:val="2"/>
                <w:sz w:val="28"/>
                <w:szCs w:val="28"/>
                <w:lang w:val="en-US" w:eastAsia="zh-CN" w:bidi="ar-SA"/>
              </w:rPr>
            </w:pPr>
            <w:r>
              <w:rPr>
                <w:rFonts w:hint="eastAsia" w:ascii="汉仪粗仿宋简" w:hAnsi="汉仪粗仿宋简" w:eastAsia="汉仪粗仿宋简" w:cs="汉仪粗仿宋简"/>
                <w:color w:val="auto"/>
                <w:sz w:val="28"/>
                <w:szCs w:val="28"/>
              </w:rPr>
              <w:t>管理方案</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kern w:val="2"/>
                <w:sz w:val="28"/>
                <w:szCs w:val="2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黑体" w:hAnsi="黑体" w:eastAsia="黑体" w:cs="黑体"/>
                <w:b w:val="0"/>
                <w:bCs/>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val="en-US" w:eastAsia="zh-CN"/>
              </w:rPr>
            </w:pPr>
            <w:r>
              <w:rPr>
                <w:rFonts w:hint="eastAsia" w:ascii="汉仪粗仿宋简" w:hAnsi="汉仪粗仿宋简" w:eastAsia="汉仪粗仿宋简" w:cs="汉仪粗仿宋简"/>
                <w:color w:val="auto"/>
                <w:sz w:val="28"/>
                <w:szCs w:val="28"/>
                <w:lang w:val="en-US" w:eastAsia="zh-CN"/>
              </w:rPr>
              <w:t>15</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信息化管理</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lang w:val="en-US" w:eastAsia="zh-CN"/>
              </w:rPr>
              <w:t>三、</w:t>
            </w:r>
            <w:r>
              <w:rPr>
                <w:rFonts w:hint="eastAsia" w:ascii="黑体" w:hAnsi="黑体" w:eastAsia="黑体" w:cs="黑体"/>
                <w:b w:val="0"/>
                <w:bCs/>
                <w:color w:val="auto"/>
                <w:sz w:val="28"/>
                <w:szCs w:val="28"/>
              </w:rPr>
              <w:t>服务能力（35分）</w:t>
            </w: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lang w:val="en-US" w:eastAsia="zh-CN"/>
              </w:rPr>
            </w:pPr>
            <w:r>
              <w:rPr>
                <w:rFonts w:hint="eastAsia" w:ascii="汉仪粗仿宋简" w:hAnsi="汉仪粗仿宋简" w:eastAsia="汉仪粗仿宋简" w:cs="汉仪粗仿宋简"/>
                <w:color w:val="auto"/>
                <w:sz w:val="28"/>
                <w:szCs w:val="28"/>
                <w:lang w:val="en-US" w:eastAsia="zh-CN"/>
              </w:rPr>
              <w:t>15</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r>
              <w:rPr>
                <w:rFonts w:hint="eastAsia" w:ascii="汉仪粗仿宋简" w:hAnsi="汉仪粗仿宋简" w:eastAsia="汉仪粗仿宋简" w:cs="汉仪粗仿宋简"/>
                <w:color w:val="auto"/>
                <w:sz w:val="28"/>
                <w:szCs w:val="28"/>
              </w:rPr>
              <w:t>配送服务</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汉仪粗仿宋简" w:hAnsi="汉仪粗仿宋简" w:eastAsia="汉仪粗仿宋简" w:cs="汉仪粗仿宋简"/>
                <w:b/>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val="en-US" w:eastAsia="zh-CN"/>
              </w:rPr>
            </w:pPr>
            <w:r>
              <w:rPr>
                <w:rFonts w:hint="eastAsia" w:ascii="汉仪粗仿宋简" w:hAnsi="汉仪粗仿宋简" w:eastAsia="汉仪粗仿宋简" w:cs="汉仪粗仿宋简"/>
                <w:color w:val="auto"/>
                <w:sz w:val="28"/>
                <w:szCs w:val="28"/>
                <w:highlight w:val="none"/>
                <w:lang w:val="en-US" w:eastAsia="zh-CN"/>
              </w:rPr>
              <w:t>10</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r>
              <w:rPr>
                <w:rFonts w:hint="eastAsia" w:ascii="汉仪粗仿宋简" w:hAnsi="汉仪粗仿宋简" w:eastAsia="汉仪粗仿宋简" w:cs="汉仪粗仿宋简"/>
                <w:color w:val="auto"/>
                <w:sz w:val="28"/>
                <w:szCs w:val="28"/>
                <w:highlight w:val="none"/>
                <w:lang w:val="en-US" w:eastAsia="zh-CN"/>
              </w:rPr>
              <w:t>谈判药品</w:t>
            </w:r>
            <w:r>
              <w:rPr>
                <w:rFonts w:hint="eastAsia" w:ascii="汉仪粗仿宋简" w:hAnsi="汉仪粗仿宋简" w:eastAsia="汉仪粗仿宋简" w:cs="汉仪粗仿宋简"/>
                <w:color w:val="auto"/>
                <w:sz w:val="28"/>
                <w:szCs w:val="28"/>
                <w:highlight w:val="none"/>
              </w:rPr>
              <w:t>销售</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汉仪粗仿宋简" w:hAnsi="汉仪粗仿宋简" w:eastAsia="汉仪粗仿宋简" w:cs="汉仪粗仿宋简"/>
                <w:b/>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val="en-US" w:eastAsia="zh-CN"/>
              </w:rPr>
            </w:pPr>
            <w:r>
              <w:rPr>
                <w:rFonts w:hint="eastAsia" w:ascii="汉仪粗仿宋简" w:hAnsi="汉仪粗仿宋简" w:eastAsia="汉仪粗仿宋简" w:cs="汉仪粗仿宋简"/>
                <w:color w:val="auto"/>
                <w:sz w:val="28"/>
                <w:szCs w:val="28"/>
                <w:highlight w:val="none"/>
                <w:lang w:val="en-US" w:eastAsia="zh-CN"/>
              </w:rPr>
              <w:t>7</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r>
              <w:rPr>
                <w:rFonts w:hint="eastAsia" w:ascii="汉仪粗仿宋简" w:hAnsi="汉仪粗仿宋简" w:eastAsia="汉仪粗仿宋简" w:cs="汉仪粗仿宋简"/>
                <w:color w:val="auto"/>
                <w:sz w:val="28"/>
                <w:szCs w:val="28"/>
                <w:highlight w:val="none"/>
              </w:rPr>
              <w:t>谈判药品储备率</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337"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left"/>
              <w:textAlignment w:val="auto"/>
              <w:rPr>
                <w:rFonts w:hint="eastAsia" w:ascii="汉仪粗仿宋简" w:hAnsi="汉仪粗仿宋简" w:eastAsia="汉仪粗仿宋简" w:cs="汉仪粗仿宋简"/>
                <w:b/>
                <w:color w:val="auto"/>
                <w:sz w:val="28"/>
                <w:szCs w:val="28"/>
              </w:rPr>
            </w:pPr>
          </w:p>
        </w:tc>
        <w:tc>
          <w:tcPr>
            <w:tcW w:w="12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lang w:eastAsia="zh-CN"/>
              </w:rPr>
            </w:pPr>
            <w:r>
              <w:rPr>
                <w:rFonts w:hint="eastAsia" w:ascii="汉仪粗仿宋简" w:hAnsi="汉仪粗仿宋简" w:eastAsia="汉仪粗仿宋简" w:cs="汉仪粗仿宋简"/>
                <w:color w:val="auto"/>
                <w:sz w:val="28"/>
                <w:szCs w:val="28"/>
                <w:highlight w:val="none"/>
                <w:lang w:val="en-US" w:eastAsia="zh-CN"/>
              </w:rPr>
              <w:t>3</w:t>
            </w:r>
          </w:p>
        </w:tc>
        <w:tc>
          <w:tcPr>
            <w:tcW w:w="26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r>
              <w:rPr>
                <w:rFonts w:hint="eastAsia" w:ascii="汉仪粗仿宋简" w:hAnsi="汉仪粗仿宋简" w:eastAsia="汉仪粗仿宋简" w:cs="汉仪粗仿宋简"/>
                <w:color w:val="auto"/>
                <w:sz w:val="28"/>
                <w:szCs w:val="28"/>
                <w:highlight w:val="none"/>
              </w:rPr>
              <w:t>慈善服务</w:t>
            </w: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3337"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default"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总得分</w:t>
            </w:r>
          </w:p>
        </w:tc>
        <w:tc>
          <w:tcPr>
            <w:tcW w:w="388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p>
        </w:tc>
        <w:tc>
          <w:tcPr>
            <w:tcW w:w="15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汉仪粗仿宋简" w:hAnsi="汉仪粗仿宋简" w:eastAsia="汉仪粗仿宋简" w:cs="汉仪粗仿宋简"/>
                <w:color w:val="auto"/>
                <w:sz w:val="28"/>
                <w:szCs w:val="28"/>
                <w:highlight w:val="none"/>
              </w:rPr>
            </w:pPr>
          </w:p>
        </w:tc>
      </w:tr>
    </w:tbl>
    <w:p>
      <w:pPr>
        <w:pStyle w:val="2"/>
        <w:keepNext w:val="0"/>
        <w:keepLines w:val="0"/>
        <w:pageBreakBefore w:val="0"/>
        <w:widowControl w:val="0"/>
        <w:kinsoku/>
        <w:wordWrap/>
        <w:overflowPunct/>
        <w:topLinePunct w:val="0"/>
        <w:autoSpaceDE/>
        <w:autoSpaceDN/>
        <w:bidi w:val="0"/>
        <w:adjustRightInd/>
        <w:snapToGrid/>
        <w:spacing w:before="318" w:beforeLines="50" w:line="240" w:lineRule="auto"/>
        <w:ind w:left="0" w:leftChars="0" w:firstLine="0" w:firstLineChars="0"/>
        <w:jc w:val="center"/>
        <w:textAlignment w:val="baseline"/>
        <w:rPr>
          <w:rFonts w:hint="default"/>
          <w:color w:val="auto"/>
          <w:lang w:val="en-US" w:eastAsia="zh-CN"/>
        </w:rPr>
      </w:pPr>
      <w:r>
        <w:rPr>
          <w:rFonts w:hint="eastAsia"/>
          <w:color w:val="auto"/>
          <w:lang w:val="en-US" w:eastAsia="zh-CN"/>
        </w:rPr>
        <w:t>评审人签名：                            年    月    日</w:t>
      </w:r>
    </w:p>
    <w:sectPr>
      <w:pgSz w:w="11906" w:h="16838"/>
      <w:pgMar w:top="1871" w:right="1531" w:bottom="1757" w:left="1531" w:header="851" w:footer="992" w:gutter="0"/>
      <w:cols w:space="0" w:num="1"/>
      <w:rtlGutter w:val="0"/>
      <w:docGrid w:type="lines" w:linePitch="6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DCD4975B-DD92-41BD-BDE4-60C0628D86D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35DB9C0B-C0A8-4EC7-BD90-F3DF11D6754C}"/>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3" w:fontKey="{0281CB36-EA84-4D0C-8B23-9FF86E7141EF}"/>
  </w:font>
  <w:font w:name="汉仪粗仿宋简">
    <w:panose1 w:val="02010600000101010101"/>
    <w:charset w:val="86"/>
    <w:family w:val="auto"/>
    <w:pitch w:val="default"/>
    <w:sig w:usb0="00000001" w:usb1="080E0800" w:usb2="00000002" w:usb3="00000000" w:csb0="00040000" w:csb1="00000000"/>
    <w:embedRegular r:id="rId4" w:fontKey="{3C4213E7-CC5C-4B54-90C6-1A0CA668D9B9}"/>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61ED2"/>
    <w:multiLevelType w:val="singleLevel"/>
    <w:tmpl w:val="84D61ED2"/>
    <w:lvl w:ilvl="0" w:tentative="0">
      <w:start w:val="1"/>
      <w:numFmt w:val="decimal"/>
      <w:suff w:val="nothing"/>
      <w:lvlText w:val="%1、"/>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30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xYmJmMDUyNTIwODA0NjBkNmY4ZjUyNGQ1ODhmM2QifQ=="/>
  </w:docVars>
  <w:rsids>
    <w:rsidRoot w:val="62A10B38"/>
    <w:rsid w:val="025E4FAB"/>
    <w:rsid w:val="04BA6E44"/>
    <w:rsid w:val="093B5FB3"/>
    <w:rsid w:val="095964CC"/>
    <w:rsid w:val="0A562A7C"/>
    <w:rsid w:val="0AD053DD"/>
    <w:rsid w:val="0C2B5976"/>
    <w:rsid w:val="0CC27AF2"/>
    <w:rsid w:val="104C62AC"/>
    <w:rsid w:val="10F53FD8"/>
    <w:rsid w:val="110A7D96"/>
    <w:rsid w:val="12013629"/>
    <w:rsid w:val="130710DF"/>
    <w:rsid w:val="1387134E"/>
    <w:rsid w:val="13F47824"/>
    <w:rsid w:val="14DF73DA"/>
    <w:rsid w:val="150C6D45"/>
    <w:rsid w:val="162C0AD1"/>
    <w:rsid w:val="17061346"/>
    <w:rsid w:val="186450A1"/>
    <w:rsid w:val="1878760B"/>
    <w:rsid w:val="1927342F"/>
    <w:rsid w:val="19F74BE1"/>
    <w:rsid w:val="1B1546BA"/>
    <w:rsid w:val="1BA85511"/>
    <w:rsid w:val="1D142596"/>
    <w:rsid w:val="1DD03D83"/>
    <w:rsid w:val="20A60E8C"/>
    <w:rsid w:val="20EE138E"/>
    <w:rsid w:val="21252680"/>
    <w:rsid w:val="23DA2651"/>
    <w:rsid w:val="272D3069"/>
    <w:rsid w:val="27964426"/>
    <w:rsid w:val="2A786B0B"/>
    <w:rsid w:val="2EBC0E07"/>
    <w:rsid w:val="300B342E"/>
    <w:rsid w:val="304A595F"/>
    <w:rsid w:val="32B50C30"/>
    <w:rsid w:val="32E66D48"/>
    <w:rsid w:val="32FB01FE"/>
    <w:rsid w:val="33CD73C2"/>
    <w:rsid w:val="342A2815"/>
    <w:rsid w:val="342D54FC"/>
    <w:rsid w:val="367709CC"/>
    <w:rsid w:val="36EB7BAC"/>
    <w:rsid w:val="37D34907"/>
    <w:rsid w:val="3821029F"/>
    <w:rsid w:val="39CB00DB"/>
    <w:rsid w:val="3B9C6C40"/>
    <w:rsid w:val="3CD96ACA"/>
    <w:rsid w:val="3DCB20E0"/>
    <w:rsid w:val="3E5616FA"/>
    <w:rsid w:val="3E730B2D"/>
    <w:rsid w:val="3EF27FD1"/>
    <w:rsid w:val="3F873861"/>
    <w:rsid w:val="4334546C"/>
    <w:rsid w:val="46DD0AD9"/>
    <w:rsid w:val="48013CB0"/>
    <w:rsid w:val="49D17A6A"/>
    <w:rsid w:val="49DF56CA"/>
    <w:rsid w:val="49E46175"/>
    <w:rsid w:val="4B08477A"/>
    <w:rsid w:val="4BD0198A"/>
    <w:rsid w:val="4BD80DC7"/>
    <w:rsid w:val="4BDF1FCF"/>
    <w:rsid w:val="4CE7492D"/>
    <w:rsid w:val="515B4E44"/>
    <w:rsid w:val="52D07DCC"/>
    <w:rsid w:val="53E61806"/>
    <w:rsid w:val="53EF4DDE"/>
    <w:rsid w:val="58CE1211"/>
    <w:rsid w:val="5AB81F5D"/>
    <w:rsid w:val="5DA564DA"/>
    <w:rsid w:val="5E562AAC"/>
    <w:rsid w:val="5E644065"/>
    <w:rsid w:val="5E9C60C5"/>
    <w:rsid w:val="5EA71C92"/>
    <w:rsid w:val="5FE56A98"/>
    <w:rsid w:val="61CF1B0C"/>
    <w:rsid w:val="62190BC8"/>
    <w:rsid w:val="62A10B38"/>
    <w:rsid w:val="62BD2979"/>
    <w:rsid w:val="64D805A3"/>
    <w:rsid w:val="65843D95"/>
    <w:rsid w:val="66BD27D2"/>
    <w:rsid w:val="67A43A19"/>
    <w:rsid w:val="68543AD0"/>
    <w:rsid w:val="69B43C13"/>
    <w:rsid w:val="6E8C1751"/>
    <w:rsid w:val="6F42282A"/>
    <w:rsid w:val="70493E94"/>
    <w:rsid w:val="70E37677"/>
    <w:rsid w:val="72F32FF8"/>
    <w:rsid w:val="75290EF0"/>
    <w:rsid w:val="765B38EA"/>
    <w:rsid w:val="77C11202"/>
    <w:rsid w:val="7ABD31A5"/>
    <w:rsid w:val="7BE805FC"/>
    <w:rsid w:val="7E2F7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仿宋_GB2312" w:cs="黑体"/>
      <w:kern w:val="2"/>
      <w:sz w:val="32"/>
      <w:szCs w:val="32"/>
      <w:lang w:val="en-US" w:eastAsia="zh-CN" w:bidi="ar-SA"/>
    </w:rPr>
  </w:style>
  <w:style w:type="paragraph" w:styleId="3">
    <w:name w:val="heading 1"/>
    <w:basedOn w:val="1"/>
    <w:next w:val="1"/>
    <w:link w:val="18"/>
    <w:qFormat/>
    <w:uiPriority w:val="0"/>
    <w:pPr>
      <w:spacing w:before="0" w:beforeAutospacing="0" w:after="0" w:afterAutospacing="0" w:line="640" w:lineRule="exact"/>
      <w:ind w:firstLine="0" w:firstLineChars="0"/>
      <w:jc w:val="center"/>
      <w:outlineLvl w:val="0"/>
    </w:pPr>
    <w:rPr>
      <w:rFonts w:hint="eastAsia" w:ascii="宋体" w:hAnsi="宋体" w:eastAsia="方正小标宋简体" w:cs="宋体"/>
      <w:kern w:val="44"/>
      <w:sz w:val="44"/>
      <w:szCs w:val="48"/>
      <w:lang w:bidi="ar"/>
    </w:rPr>
  </w:style>
  <w:style w:type="paragraph" w:styleId="4">
    <w:name w:val="heading 2"/>
    <w:basedOn w:val="1"/>
    <w:next w:val="1"/>
    <w:link w:val="14"/>
    <w:unhideWhenUsed/>
    <w:qFormat/>
    <w:uiPriority w:val="0"/>
    <w:pPr>
      <w:keepNext w:val="0"/>
      <w:keepLines w:val="0"/>
      <w:spacing w:beforeLines="0" w:beforeAutospacing="0" w:afterLines="0" w:afterAutospacing="0" w:line="240" w:lineRule="auto"/>
      <w:ind w:firstLine="643" w:firstLineChars="200"/>
      <w:outlineLvl w:val="1"/>
    </w:pPr>
    <w:rPr>
      <w:rFonts w:ascii="Arial" w:hAnsi="Arial" w:eastAsia="黑体"/>
    </w:rPr>
  </w:style>
  <w:style w:type="paragraph" w:styleId="5">
    <w:name w:val="heading 3"/>
    <w:basedOn w:val="1"/>
    <w:next w:val="1"/>
    <w:link w:val="15"/>
    <w:semiHidden/>
    <w:unhideWhenUsed/>
    <w:qFormat/>
    <w:uiPriority w:val="0"/>
    <w:pPr>
      <w:keepNext w:val="0"/>
      <w:keepLines w:val="0"/>
      <w:spacing w:beforeLines="0" w:beforeAutospacing="0" w:afterLines="0" w:afterAutospacing="0" w:line="240" w:lineRule="auto"/>
      <w:outlineLvl w:val="2"/>
    </w:pPr>
    <w:rPr>
      <w:rFonts w:eastAsia="楷体_GB2312"/>
      <w:b/>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_Style 2"/>
    <w:basedOn w:val="1"/>
    <w:qFormat/>
    <w:uiPriority w:val="0"/>
    <w:pPr>
      <w:spacing w:line="351" w:lineRule="atLeast"/>
      <w:ind w:firstLine="623"/>
      <w:textAlignment w:val="baseline"/>
    </w:pPr>
    <w:rPr>
      <w:rFonts w:ascii="Times New Roman" w:hAnsi="Times New Roman" w:eastAsia="仿宋_GB2312" w:cs="Times New Roman"/>
      <w:color w:val="000000"/>
      <w:sz w:val="31"/>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character" w:customStyle="1" w:styleId="14">
    <w:name w:val="标题 2 Char"/>
    <w:link w:val="4"/>
    <w:qFormat/>
    <w:uiPriority w:val="0"/>
    <w:rPr>
      <w:rFonts w:ascii="Arial" w:hAnsi="Arial" w:eastAsia="黑体"/>
    </w:rPr>
  </w:style>
  <w:style w:type="character" w:customStyle="1" w:styleId="15">
    <w:name w:val="标题 3 Char"/>
    <w:link w:val="5"/>
    <w:semiHidden/>
    <w:qFormat/>
    <w:uiPriority w:val="0"/>
    <w:rPr>
      <w:rFonts w:eastAsia="楷体_GB2312"/>
      <w:b/>
    </w:rPr>
  </w:style>
  <w:style w:type="paragraph" w:customStyle="1" w:styleId="16">
    <w:name w:val="Heading #2|1"/>
    <w:basedOn w:val="1"/>
    <w:qFormat/>
    <w:uiPriority w:val="0"/>
    <w:pPr>
      <w:spacing w:after="560" w:line="590" w:lineRule="exact"/>
      <w:jc w:val="center"/>
      <w:outlineLvl w:val="1"/>
    </w:pPr>
    <w:rPr>
      <w:rFonts w:ascii="宋体" w:hAnsi="宋体" w:eastAsia="宋体" w:cs="宋体"/>
      <w:sz w:val="42"/>
      <w:szCs w:val="42"/>
      <w:lang w:val="zh-TW" w:eastAsia="zh-TW" w:bidi="zh-TW"/>
    </w:rPr>
  </w:style>
  <w:style w:type="paragraph" w:customStyle="1" w:styleId="17">
    <w:name w:val="Body text|1"/>
    <w:basedOn w:val="1"/>
    <w:qFormat/>
    <w:uiPriority w:val="0"/>
    <w:pPr>
      <w:spacing w:line="451" w:lineRule="auto"/>
      <w:ind w:firstLine="400"/>
    </w:pPr>
    <w:rPr>
      <w:rFonts w:ascii="宋体" w:hAnsi="宋体" w:eastAsia="宋体" w:cs="宋体"/>
      <w:color w:val="auto"/>
      <w:sz w:val="28"/>
      <w:szCs w:val="28"/>
      <w:lang w:val="zh-TW" w:eastAsia="zh-TW" w:bidi="zh-TW"/>
    </w:rPr>
  </w:style>
  <w:style w:type="character" w:customStyle="1" w:styleId="18">
    <w:name w:val="标题 1 Char"/>
    <w:link w:val="3"/>
    <w:qFormat/>
    <w:uiPriority w:val="0"/>
    <w:rPr>
      <w:rFonts w:hint="eastAsia" w:ascii="宋体" w:hAnsi="宋体" w:eastAsia="方正小标宋简体" w:cs="宋体"/>
      <w:kern w:val="44"/>
      <w:sz w:val="44"/>
      <w:szCs w:val="48"/>
      <w:lang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5852</Words>
  <Characters>6030</Characters>
  <Lines>0</Lines>
  <Paragraphs>0</Paragraphs>
  <TotalTime>1</TotalTime>
  <ScaleCrop>false</ScaleCrop>
  <LinksUpToDate>false</LinksUpToDate>
  <CharactersWithSpaces>6154</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2020-10-29T02:37:00Z</dcterms:created>
  <dc:creator>Zzx</dc:creator>
  <cp:lastModifiedBy>杨（办公室）</cp:lastModifiedBy>
  <cp:lastPrinted>2021-08-20T01:13:00Z</cp:lastPrinted>
  <dcterms:modified xsi:type="dcterms:W3CDTF">2022-11-17T01:33:47Z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AA756D4D5D16445AA6EEB24D2E0838BC</vt:lpwstr>
  </property>
</Properties>
</file>