
<file path=[Content_Types].xml><?xml version="1.0" encoding="utf-8"?>
<Types xmlns="http://schemas.openxmlformats.org/package/2006/content-types">
  <Default Extension="wmf" ContentType="image/x-wmf"/>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75CB6">
      <w:pPr>
        <w:spacing w:before="217" w:after="217"/>
        <w:ind w:firstLine="640"/>
        <w:rPr>
          <w:rFonts w:cs="Times New Roman"/>
        </w:rPr>
      </w:pPr>
    </w:p>
    <w:p w14:paraId="2F0C7661">
      <w:pPr>
        <w:pStyle w:val="5"/>
        <w:spacing w:before="217" w:after="217"/>
        <w:ind w:firstLine="640"/>
        <w:rPr>
          <w:rFonts w:cs="Times New Roman"/>
        </w:rPr>
      </w:pPr>
    </w:p>
    <w:p w14:paraId="0C262CED">
      <w:pPr>
        <w:pStyle w:val="5"/>
        <w:spacing w:before="217" w:after="217"/>
        <w:ind w:firstLine="640"/>
        <w:rPr>
          <w:rFonts w:cs="Times New Roman"/>
        </w:rPr>
      </w:pPr>
    </w:p>
    <w:p w14:paraId="2F9630BA">
      <w:pPr>
        <w:pStyle w:val="5"/>
        <w:spacing w:before="217" w:after="217"/>
        <w:ind w:firstLine="640"/>
        <w:rPr>
          <w:rFonts w:cs="Times New Roman"/>
        </w:rPr>
      </w:pPr>
    </w:p>
    <w:p w14:paraId="2FD824FD">
      <w:pPr>
        <w:pStyle w:val="22"/>
        <w:spacing w:before="217" w:after="217"/>
        <w:rPr>
          <w:rFonts w:cs="Times New Roman"/>
        </w:rPr>
      </w:pPr>
      <w:r>
        <w:rPr>
          <w:rFonts w:cs="Times New Roman"/>
        </w:rPr>
        <w:t>铜陵市凤丹产业高质量发展规划</w:t>
      </w:r>
    </w:p>
    <w:p w14:paraId="120FDA73">
      <w:pPr>
        <w:pStyle w:val="22"/>
        <w:spacing w:before="217" w:after="217"/>
        <w:rPr>
          <w:rFonts w:cs="Times New Roman"/>
        </w:rPr>
      </w:pPr>
      <w:r>
        <w:rPr>
          <w:rFonts w:cs="Times New Roman"/>
        </w:rPr>
        <w:t>（202</w:t>
      </w:r>
      <w:r>
        <w:rPr>
          <w:rFonts w:hint="eastAsia" w:cs="Times New Roman"/>
        </w:rPr>
        <w:t>5</w:t>
      </w:r>
      <w:r>
        <w:rPr>
          <w:rFonts w:cs="Times New Roman"/>
        </w:rPr>
        <w:t>—2035年）</w:t>
      </w:r>
    </w:p>
    <w:p w14:paraId="053C2DC5">
      <w:pPr>
        <w:pStyle w:val="22"/>
        <w:spacing w:before="217" w:after="217"/>
        <w:rPr>
          <w:rFonts w:cs="Times New Roman"/>
        </w:rPr>
      </w:pPr>
    </w:p>
    <w:p w14:paraId="70B496AF">
      <w:pPr>
        <w:pStyle w:val="22"/>
        <w:spacing w:before="217" w:after="217"/>
        <w:rPr>
          <w:rFonts w:cs="Times New Roman"/>
        </w:rPr>
      </w:pPr>
    </w:p>
    <w:p w14:paraId="5B05B9A6">
      <w:pPr>
        <w:pStyle w:val="22"/>
        <w:spacing w:before="217" w:after="217"/>
        <w:rPr>
          <w:rFonts w:cs="Times New Roman"/>
        </w:rPr>
      </w:pPr>
    </w:p>
    <w:p w14:paraId="05AFFBBC">
      <w:pPr>
        <w:pStyle w:val="22"/>
        <w:spacing w:before="217" w:after="217"/>
        <w:rPr>
          <w:rFonts w:cs="Times New Roman"/>
        </w:rPr>
      </w:pPr>
    </w:p>
    <w:p w14:paraId="4B591A63">
      <w:pPr>
        <w:pStyle w:val="22"/>
        <w:spacing w:before="217" w:after="217"/>
        <w:rPr>
          <w:rFonts w:cs="Times New Roman"/>
        </w:rPr>
      </w:pPr>
    </w:p>
    <w:p w14:paraId="34561F8F">
      <w:pPr>
        <w:pStyle w:val="22"/>
        <w:spacing w:before="217" w:after="217"/>
        <w:rPr>
          <w:rFonts w:cs="Times New Roman"/>
        </w:rPr>
      </w:pPr>
    </w:p>
    <w:p w14:paraId="67057163">
      <w:pPr>
        <w:pStyle w:val="22"/>
        <w:spacing w:before="217" w:after="217"/>
        <w:rPr>
          <w:rFonts w:cs="Times New Roman"/>
        </w:rPr>
      </w:pPr>
    </w:p>
    <w:p w14:paraId="56DBC4E5">
      <w:pPr>
        <w:pStyle w:val="22"/>
        <w:spacing w:before="217" w:after="217"/>
        <w:rPr>
          <w:rFonts w:cs="Times New Roman"/>
        </w:rPr>
      </w:pPr>
    </w:p>
    <w:p w14:paraId="481D6E8A">
      <w:pPr>
        <w:pStyle w:val="22"/>
        <w:spacing w:before="217" w:after="217"/>
        <w:rPr>
          <w:rFonts w:cs="Times New Roman"/>
        </w:rPr>
      </w:pPr>
    </w:p>
    <w:p w14:paraId="2C268CCF">
      <w:pPr>
        <w:pStyle w:val="22"/>
        <w:spacing w:before="0" w:beforeLines="0" w:after="0" w:afterLines="0"/>
        <w:rPr>
          <w:rFonts w:eastAsia="楷体_GB2312" w:cs="Times New Roman"/>
          <w:sz w:val="32"/>
          <w:szCs w:val="32"/>
        </w:rPr>
      </w:pPr>
      <w:r>
        <w:rPr>
          <w:rFonts w:eastAsia="楷体_GB2312" w:cs="Times New Roman"/>
          <w:sz w:val="32"/>
          <w:szCs w:val="32"/>
        </w:rPr>
        <w:t>铜陵市人民政府</w:t>
      </w:r>
    </w:p>
    <w:p w14:paraId="5DF4B185">
      <w:pPr>
        <w:pStyle w:val="22"/>
        <w:spacing w:before="0" w:beforeLines="0" w:after="0" w:afterLines="0"/>
        <w:rPr>
          <w:rFonts w:eastAsia="楷体_GB2312" w:cs="Times New Roman"/>
          <w:sz w:val="32"/>
          <w:szCs w:val="32"/>
        </w:rPr>
      </w:pPr>
      <w:r>
        <w:rPr>
          <w:rFonts w:eastAsia="楷体_GB2312" w:cs="Times New Roman"/>
          <w:sz w:val="32"/>
          <w:szCs w:val="32"/>
        </w:rPr>
        <w:t>二</w:t>
      </w:r>
      <w:r>
        <w:rPr>
          <w:rFonts w:hint="eastAsia" w:ascii="微软雅黑" w:hAnsi="微软雅黑" w:eastAsia="微软雅黑" w:cs="微软雅黑"/>
          <w:sz w:val="32"/>
          <w:szCs w:val="32"/>
        </w:rPr>
        <w:t>〇</w:t>
      </w:r>
      <w:r>
        <w:rPr>
          <w:rFonts w:eastAsia="楷体_GB2312" w:cs="Times New Roman"/>
          <w:sz w:val="32"/>
          <w:szCs w:val="32"/>
        </w:rPr>
        <w:t>二</w:t>
      </w:r>
      <w:r>
        <w:rPr>
          <w:rFonts w:hint="eastAsia" w:eastAsia="楷体_GB2312" w:cs="Times New Roman"/>
          <w:sz w:val="32"/>
          <w:szCs w:val="32"/>
        </w:rPr>
        <w:t>五</w:t>
      </w:r>
      <w:r>
        <w:rPr>
          <w:rFonts w:eastAsia="楷体_GB2312" w:cs="Times New Roman"/>
          <w:sz w:val="32"/>
          <w:szCs w:val="32"/>
        </w:rPr>
        <w:t>年一月</w:t>
      </w:r>
    </w:p>
    <w:p w14:paraId="0F4B30BB">
      <w:pPr>
        <w:pStyle w:val="22"/>
        <w:spacing w:before="0" w:beforeLines="0" w:after="0" w:afterLines="0"/>
        <w:rPr>
          <w:rFonts w:eastAsia="楷体_GB2312" w:cs="Times New Roman"/>
          <w:sz w:val="32"/>
          <w:szCs w:val="32"/>
        </w:rPr>
      </w:pPr>
    </w:p>
    <w:p w14:paraId="7F5C624F">
      <w:pPr>
        <w:pStyle w:val="22"/>
        <w:spacing w:before="0" w:beforeLines="0" w:after="0" w:afterLines="0"/>
        <w:rPr>
          <w:rFonts w:eastAsia="楷体_GB2312" w:cs="Times New Roman"/>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435" w:charSpace="0"/>
        </w:sectPr>
      </w:pPr>
    </w:p>
    <w:p w14:paraId="5C76E90B">
      <w:pPr>
        <w:pStyle w:val="22"/>
        <w:spacing w:before="0" w:beforeLines="0" w:after="0" w:afterLines="0"/>
        <w:rPr>
          <w:rFonts w:eastAsia="黑体" w:cs="Times New Roman"/>
          <w:b/>
          <w:bCs/>
          <w:sz w:val="32"/>
          <w:szCs w:val="32"/>
        </w:rPr>
      </w:pPr>
      <w:r>
        <w:rPr>
          <w:rFonts w:eastAsia="黑体" w:cs="Times New Roman"/>
          <w:b/>
          <w:bCs/>
          <w:sz w:val="32"/>
          <w:szCs w:val="32"/>
        </w:rPr>
        <w:t>目  录</w:t>
      </w:r>
    </w:p>
    <w:sdt>
      <w:sdtPr>
        <w:rPr>
          <w:rFonts w:ascii="Times New Roman" w:hAnsi="Times New Roman" w:eastAsia="仿宋_GB2312" w:cs="Times New Roman"/>
          <w:color w:val="auto"/>
          <w:kern w:val="2"/>
          <w:szCs w:val="24"/>
          <w:lang w:val="zh-CN"/>
        </w:rPr>
        <w:id w:val="76795950"/>
        <w:docPartObj>
          <w:docPartGallery w:val="Table of Contents"/>
          <w:docPartUnique/>
        </w:docPartObj>
      </w:sdtPr>
      <w:sdtEndPr>
        <w:rPr>
          <w:rFonts w:ascii="Times New Roman" w:hAnsi="Times New Roman" w:eastAsia="仿宋_GB2312" w:cs="Times New Roman"/>
          <w:b/>
          <w:bCs/>
          <w:color w:val="auto"/>
          <w:kern w:val="2"/>
          <w:szCs w:val="24"/>
          <w:lang w:val="zh-CN"/>
        </w:rPr>
      </w:sdtEndPr>
      <w:sdtContent>
        <w:p w14:paraId="58D73000">
          <w:pPr>
            <w:pStyle w:val="29"/>
            <w:adjustRightInd w:val="0"/>
            <w:snapToGrid w:val="0"/>
            <w:spacing w:before="217" w:after="217" w:line="240" w:lineRule="auto"/>
            <w:rPr>
              <w:rFonts w:ascii="Times New Roman" w:hAnsi="Times New Roman" w:cs="Times New Roman"/>
            </w:rPr>
          </w:pPr>
        </w:p>
        <w:p w14:paraId="35DCE8AE">
          <w:pPr>
            <w:pStyle w:val="10"/>
            <w:rPr>
              <w:rFonts w:eastAsiaTheme="minorEastAsia"/>
              <w:sz w:val="21"/>
              <w:szCs w:val="22"/>
            </w:rPr>
          </w:pPr>
          <w:r>
            <w:fldChar w:fldCharType="begin"/>
          </w:r>
          <w:r>
            <w:instrText xml:space="preserve"> TOC \o "1-3" \h \z \u </w:instrText>
          </w:r>
          <w:r>
            <w:fldChar w:fldCharType="separate"/>
          </w:r>
          <w:r>
            <w:fldChar w:fldCharType="begin"/>
          </w:r>
          <w:r>
            <w:instrText xml:space="preserve"> HYPERLINK \l "_Toc180074404" </w:instrText>
          </w:r>
          <w:r>
            <w:fldChar w:fldCharType="separate"/>
          </w:r>
          <w:r>
            <w:rPr>
              <w:rStyle w:val="17"/>
            </w:rPr>
            <w:t>第一章 产业基础概况</w:t>
          </w:r>
          <w:r>
            <w:tab/>
          </w:r>
          <w:r>
            <w:fldChar w:fldCharType="begin"/>
          </w:r>
          <w:r>
            <w:instrText xml:space="preserve"> PAGEREF _Toc180074404 \h </w:instrText>
          </w:r>
          <w:r>
            <w:fldChar w:fldCharType="separate"/>
          </w:r>
          <w:r>
            <w:t>1</w:t>
          </w:r>
          <w:r>
            <w:fldChar w:fldCharType="end"/>
          </w:r>
          <w:r>
            <w:fldChar w:fldCharType="end"/>
          </w:r>
        </w:p>
        <w:p w14:paraId="76D73E6A">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"_Toc180074405" </w:instrText>
          </w:r>
          <w:r>
            <w:fldChar w:fldCharType="separate"/>
          </w:r>
          <w:r>
            <w:rPr>
              <w:rStyle w:val="17"/>
              <w:rFonts w:eastAsia="楷体_GB2312" w:cs="Times New Roman"/>
              <w:sz w:val="30"/>
              <w:szCs w:val="30"/>
            </w:rPr>
            <w:t>一、全国牡丹产业发展现状</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_Toc180074405 \h </w:instrText>
          </w:r>
          <w:r>
            <w:rPr>
              <w:rStyle w:val="17"/>
              <w:rFonts w:eastAsia="楷体_GB2312" w:cs="Times New Roman"/>
              <w:sz w:val="30"/>
              <w:szCs w:val="30"/>
            </w:rPr>
            <w:fldChar w:fldCharType="separate"/>
          </w:r>
          <w:r>
            <w:rPr>
              <w:rStyle w:val="17"/>
              <w:rFonts w:eastAsia="楷体_GB2312" w:cs="Times New Roman"/>
              <w:sz w:val="30"/>
              <w:szCs w:val="30"/>
            </w:rPr>
            <w:t>1</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269E998D">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"_Toc180074410" </w:instrText>
          </w:r>
          <w:r>
            <w:fldChar w:fldCharType="separate"/>
          </w:r>
          <w:r>
            <w:rPr>
              <w:rStyle w:val="17"/>
              <w:rFonts w:eastAsia="楷体_GB2312" w:cs="Times New Roman"/>
              <w:sz w:val="30"/>
              <w:szCs w:val="30"/>
            </w:rPr>
            <w:t>二、铜陵凤丹产业发展现状</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_Toc180074410 \h </w:instrText>
          </w:r>
          <w:r>
            <w:rPr>
              <w:rStyle w:val="17"/>
              <w:rFonts w:eastAsia="楷体_GB2312" w:cs="Times New Roman"/>
              <w:sz w:val="30"/>
              <w:szCs w:val="30"/>
            </w:rPr>
            <w:fldChar w:fldCharType="separate"/>
          </w:r>
          <w:r>
            <w:rPr>
              <w:rStyle w:val="17"/>
              <w:rFonts w:eastAsia="楷体_GB2312" w:cs="Times New Roman"/>
              <w:sz w:val="30"/>
              <w:szCs w:val="30"/>
            </w:rPr>
            <w:t>3</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3F4A665D">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"_Toc180074416" </w:instrText>
          </w:r>
          <w:r>
            <w:fldChar w:fldCharType="separate"/>
          </w:r>
          <w:r>
            <w:rPr>
              <w:rStyle w:val="17"/>
              <w:rFonts w:eastAsia="楷体_GB2312" w:cs="Times New Roman"/>
              <w:sz w:val="30"/>
              <w:szCs w:val="30"/>
            </w:rPr>
            <w:t>三、凤丹产业发展机遇与挑战</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_Toc180074416 \h </w:instrText>
          </w:r>
          <w:r>
            <w:rPr>
              <w:rStyle w:val="17"/>
              <w:rFonts w:eastAsia="楷体_GB2312" w:cs="Times New Roman"/>
              <w:sz w:val="30"/>
              <w:szCs w:val="30"/>
            </w:rPr>
            <w:fldChar w:fldCharType="separate"/>
          </w:r>
          <w:r>
            <w:rPr>
              <w:rStyle w:val="17"/>
              <w:rFonts w:eastAsia="楷体_GB2312" w:cs="Times New Roman"/>
              <w:sz w:val="30"/>
              <w:szCs w:val="30"/>
            </w:rPr>
            <w:t>11</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4502189F">
          <w:pPr>
            <w:pStyle w:val="10"/>
            <w:rPr>
              <w:rFonts w:eastAsiaTheme="minorEastAsia"/>
              <w:sz w:val="21"/>
              <w:szCs w:val="22"/>
            </w:rPr>
          </w:pPr>
          <w:r>
            <w:fldChar w:fldCharType="begin"/>
          </w:r>
          <w:r>
            <w:instrText xml:space="preserve"> HYPERLINK \l "_Toc180074420" </w:instrText>
          </w:r>
          <w:r>
            <w:fldChar w:fldCharType="separate"/>
          </w:r>
          <w:r>
            <w:rPr>
              <w:rStyle w:val="17"/>
            </w:rPr>
            <w:t>第二章 发展思路与目标</w:t>
          </w:r>
          <w:r>
            <w:tab/>
          </w:r>
          <w:r>
            <w:fldChar w:fldCharType="begin"/>
          </w:r>
          <w:r>
            <w:instrText xml:space="preserve"> PAGEREF _Toc180074420 \h </w:instrText>
          </w:r>
          <w:r>
            <w:fldChar w:fldCharType="separate"/>
          </w:r>
          <w:r>
            <w:t>14</w:t>
          </w:r>
          <w:r>
            <w:fldChar w:fldCharType="end"/>
          </w:r>
          <w:r>
            <w:fldChar w:fldCharType="end"/>
          </w:r>
        </w:p>
        <w:p w14:paraId="7C7752DE">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"_Toc180074421" </w:instrText>
          </w:r>
          <w:r>
            <w:fldChar w:fldCharType="separate"/>
          </w:r>
          <w:r>
            <w:rPr>
              <w:rStyle w:val="17"/>
              <w:rFonts w:eastAsia="楷体_GB2312" w:cs="Times New Roman"/>
              <w:sz w:val="30"/>
              <w:szCs w:val="30"/>
            </w:rPr>
            <w:t>一、指导思想</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_Toc180074421 \h </w:instrText>
          </w:r>
          <w:r>
            <w:rPr>
              <w:rStyle w:val="17"/>
              <w:rFonts w:eastAsia="楷体_GB2312" w:cs="Times New Roman"/>
              <w:sz w:val="30"/>
              <w:szCs w:val="30"/>
            </w:rPr>
            <w:fldChar w:fldCharType="separate"/>
          </w:r>
          <w:r>
            <w:rPr>
              <w:rStyle w:val="17"/>
              <w:rFonts w:eastAsia="楷体_GB2312" w:cs="Times New Roman"/>
              <w:sz w:val="30"/>
              <w:szCs w:val="30"/>
            </w:rPr>
            <w:t>14</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08B2F6F4">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"_Toc180074422" </w:instrText>
          </w:r>
          <w:r>
            <w:fldChar w:fldCharType="separate"/>
          </w:r>
          <w:r>
            <w:rPr>
              <w:rStyle w:val="17"/>
              <w:rFonts w:eastAsia="楷体_GB2312" w:cs="Times New Roman"/>
              <w:sz w:val="30"/>
              <w:szCs w:val="30"/>
            </w:rPr>
            <w:t>二、基本原则</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_Toc180074422 \h </w:instrText>
          </w:r>
          <w:r>
            <w:rPr>
              <w:rStyle w:val="17"/>
              <w:rFonts w:eastAsia="楷体_GB2312" w:cs="Times New Roman"/>
              <w:sz w:val="30"/>
              <w:szCs w:val="30"/>
            </w:rPr>
            <w:fldChar w:fldCharType="separate"/>
          </w:r>
          <w:r>
            <w:rPr>
              <w:rStyle w:val="17"/>
              <w:rFonts w:eastAsia="楷体_GB2312" w:cs="Times New Roman"/>
              <w:sz w:val="30"/>
              <w:szCs w:val="30"/>
            </w:rPr>
            <w:t>15</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54B89C1F">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"_Toc180074423" </w:instrText>
          </w:r>
          <w:r>
            <w:fldChar w:fldCharType="separate"/>
          </w:r>
          <w:r>
            <w:rPr>
              <w:rStyle w:val="17"/>
              <w:rFonts w:eastAsia="楷体_GB2312" w:cs="Times New Roman"/>
              <w:sz w:val="30"/>
              <w:szCs w:val="30"/>
            </w:rPr>
            <w:t>三、产业定位</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_Toc180074423 \h </w:instrText>
          </w:r>
          <w:r>
            <w:rPr>
              <w:rStyle w:val="17"/>
              <w:rFonts w:eastAsia="楷体_GB2312" w:cs="Times New Roman"/>
              <w:sz w:val="30"/>
              <w:szCs w:val="30"/>
            </w:rPr>
            <w:fldChar w:fldCharType="separate"/>
          </w:r>
          <w:r>
            <w:rPr>
              <w:rStyle w:val="17"/>
              <w:rFonts w:eastAsia="楷体_GB2312" w:cs="Times New Roman"/>
              <w:sz w:val="30"/>
              <w:szCs w:val="30"/>
            </w:rPr>
            <w:t>16</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494A34EB">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"_Toc180074424" </w:instrText>
          </w:r>
          <w:r>
            <w:fldChar w:fldCharType="separate"/>
          </w:r>
          <w:r>
            <w:rPr>
              <w:rStyle w:val="17"/>
              <w:rFonts w:eastAsia="楷体_GB2312" w:cs="Times New Roman"/>
              <w:sz w:val="30"/>
              <w:szCs w:val="30"/>
            </w:rPr>
            <w:t>四、发展目标</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_Toc180074424 \h </w:instrText>
          </w:r>
          <w:r>
            <w:rPr>
              <w:rStyle w:val="17"/>
              <w:rFonts w:eastAsia="楷体_GB2312" w:cs="Times New Roman"/>
              <w:sz w:val="30"/>
              <w:szCs w:val="30"/>
            </w:rPr>
            <w:fldChar w:fldCharType="separate"/>
          </w:r>
          <w:r>
            <w:rPr>
              <w:rStyle w:val="17"/>
              <w:rFonts w:eastAsia="楷体_GB2312" w:cs="Times New Roman"/>
              <w:sz w:val="30"/>
              <w:szCs w:val="30"/>
            </w:rPr>
            <w:t>18</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3EDCE52D">
          <w:pPr>
            <w:pStyle w:val="10"/>
            <w:rPr>
              <w:rFonts w:eastAsiaTheme="minorEastAsia"/>
              <w:sz w:val="21"/>
              <w:szCs w:val="22"/>
            </w:rPr>
          </w:pPr>
          <w:r>
            <w:fldChar w:fldCharType="begin"/>
          </w:r>
          <w:r>
            <w:instrText xml:space="preserve"> HYPERLINK \l "_Toc180074425" </w:instrText>
          </w:r>
          <w:r>
            <w:fldChar w:fldCharType="separate"/>
          </w:r>
          <w:r>
            <w:rPr>
              <w:rStyle w:val="17"/>
            </w:rPr>
            <w:t>第三章 产业体系与空间布局</w:t>
          </w:r>
          <w:r>
            <w:tab/>
          </w:r>
          <w:r>
            <w:fldChar w:fldCharType="begin"/>
          </w:r>
          <w:r>
            <w:instrText xml:space="preserve"> PAGEREF _Toc180074425 \h </w:instrText>
          </w:r>
          <w:r>
            <w:fldChar w:fldCharType="separate"/>
          </w:r>
          <w:r>
            <w:t>20</w:t>
          </w:r>
          <w:r>
            <w:fldChar w:fldCharType="end"/>
          </w:r>
          <w:r>
            <w:fldChar w:fldCharType="end"/>
          </w:r>
        </w:p>
        <w:p w14:paraId="3B50C5F7">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"_Toc180074426" </w:instrText>
          </w:r>
          <w:r>
            <w:fldChar w:fldCharType="separate"/>
          </w:r>
          <w:r>
            <w:rPr>
              <w:rStyle w:val="17"/>
              <w:rFonts w:eastAsia="楷体_GB2312" w:cs="Times New Roman"/>
              <w:sz w:val="30"/>
              <w:szCs w:val="30"/>
            </w:rPr>
            <w:t>一、产业体系</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_Toc180074426 \h </w:instrText>
          </w:r>
          <w:r>
            <w:rPr>
              <w:rStyle w:val="17"/>
              <w:rFonts w:eastAsia="楷体_GB2312" w:cs="Times New Roman"/>
              <w:sz w:val="30"/>
              <w:szCs w:val="30"/>
            </w:rPr>
            <w:fldChar w:fldCharType="separate"/>
          </w:r>
          <w:r>
            <w:rPr>
              <w:rStyle w:val="17"/>
              <w:rFonts w:eastAsia="楷体_GB2312" w:cs="Times New Roman"/>
              <w:sz w:val="30"/>
              <w:szCs w:val="30"/>
            </w:rPr>
            <w:t>20</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24C76DAC">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"_Toc180074427" </w:instrText>
          </w:r>
          <w:r>
            <w:fldChar w:fldCharType="separate"/>
          </w:r>
          <w:r>
            <w:rPr>
              <w:rStyle w:val="17"/>
              <w:rFonts w:eastAsia="楷体_GB2312" w:cs="Times New Roman"/>
              <w:sz w:val="30"/>
              <w:szCs w:val="30"/>
            </w:rPr>
            <w:t>二、整体空间格局</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_Toc180074427 \h </w:instrText>
          </w:r>
          <w:r>
            <w:rPr>
              <w:rStyle w:val="17"/>
              <w:rFonts w:eastAsia="楷体_GB2312" w:cs="Times New Roman"/>
              <w:sz w:val="30"/>
              <w:szCs w:val="30"/>
            </w:rPr>
            <w:fldChar w:fldCharType="separate"/>
          </w:r>
          <w:r>
            <w:rPr>
              <w:rStyle w:val="17"/>
              <w:rFonts w:eastAsia="楷体_GB2312" w:cs="Times New Roman"/>
              <w:sz w:val="30"/>
              <w:szCs w:val="30"/>
            </w:rPr>
            <w:t>22</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11C72A44">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"_Toc180074428" </w:instrText>
          </w:r>
          <w:r>
            <w:fldChar w:fldCharType="separate"/>
          </w:r>
          <w:r>
            <w:rPr>
              <w:rStyle w:val="17"/>
              <w:rFonts w:eastAsia="楷体_GB2312" w:cs="Times New Roman"/>
              <w:sz w:val="30"/>
              <w:szCs w:val="30"/>
            </w:rPr>
            <w:t>三、功能分区</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_Toc180074428 \h </w:instrText>
          </w:r>
          <w:r>
            <w:rPr>
              <w:rStyle w:val="17"/>
              <w:rFonts w:eastAsia="楷体_GB2312" w:cs="Times New Roman"/>
              <w:sz w:val="30"/>
              <w:szCs w:val="30"/>
            </w:rPr>
            <w:fldChar w:fldCharType="separate"/>
          </w:r>
          <w:r>
            <w:rPr>
              <w:rStyle w:val="17"/>
              <w:rFonts w:eastAsia="楷体_GB2312" w:cs="Times New Roman"/>
              <w:sz w:val="30"/>
              <w:szCs w:val="30"/>
            </w:rPr>
            <w:t>23</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33A1674B">
          <w:pPr>
            <w:pStyle w:val="10"/>
            <w:rPr>
              <w:rFonts w:eastAsiaTheme="minorEastAsia"/>
              <w:sz w:val="21"/>
              <w:szCs w:val="22"/>
            </w:rPr>
          </w:pPr>
          <w:r>
            <w:fldChar w:fldCharType="begin"/>
          </w:r>
          <w:r>
            <w:instrText xml:space="preserve"> HYPERLINK \l "_Toc180074432" </w:instrText>
          </w:r>
          <w:r>
            <w:fldChar w:fldCharType="separate"/>
          </w:r>
          <w:r>
            <w:rPr>
              <w:rStyle w:val="17"/>
            </w:rPr>
            <w:t>第四章 重点任务</w:t>
          </w:r>
          <w:r>
            <w:tab/>
          </w:r>
          <w:r>
            <w:fldChar w:fldCharType="begin"/>
          </w:r>
          <w:r>
            <w:instrText xml:space="preserve"> PAGEREF _Toc180074432 \h </w:instrText>
          </w:r>
          <w:r>
            <w:fldChar w:fldCharType="separate"/>
          </w:r>
          <w:r>
            <w:t>24</w:t>
          </w:r>
          <w:r>
            <w:fldChar w:fldCharType="end"/>
          </w:r>
          <w:r>
            <w:fldChar w:fldCharType="end"/>
          </w:r>
        </w:p>
        <w:p w14:paraId="520472A6">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"_Toc180074433" </w:instrText>
          </w:r>
          <w:r>
            <w:fldChar w:fldCharType="separate"/>
          </w:r>
          <w:r>
            <w:rPr>
              <w:rStyle w:val="17"/>
              <w:rFonts w:eastAsia="楷体_GB2312" w:cs="Times New Roman"/>
              <w:sz w:val="30"/>
              <w:szCs w:val="30"/>
            </w:rPr>
            <w:t>一、实施凤丹扩规补链行动，打造产业凤丹</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_Toc180074433 \h </w:instrText>
          </w:r>
          <w:r>
            <w:rPr>
              <w:rStyle w:val="17"/>
              <w:rFonts w:eastAsia="楷体_GB2312" w:cs="Times New Roman"/>
              <w:sz w:val="30"/>
              <w:szCs w:val="30"/>
            </w:rPr>
            <w:fldChar w:fldCharType="separate"/>
          </w:r>
          <w:r>
            <w:rPr>
              <w:rStyle w:val="17"/>
              <w:rFonts w:eastAsia="楷体_GB2312" w:cs="Times New Roman"/>
              <w:sz w:val="30"/>
              <w:szCs w:val="30"/>
            </w:rPr>
            <w:t>24</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6AB0FC93">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"_Toc180074439" </w:instrText>
          </w:r>
          <w:r>
            <w:fldChar w:fldCharType="separate"/>
          </w:r>
          <w:r>
            <w:rPr>
              <w:rStyle w:val="17"/>
              <w:rFonts w:eastAsia="楷体_GB2312" w:cs="Times New Roman"/>
              <w:sz w:val="30"/>
              <w:szCs w:val="30"/>
            </w:rPr>
            <w:t>二、实施科技创新赋能行动，打造科技凤丹</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_Toc180074439 \h </w:instrText>
          </w:r>
          <w:r>
            <w:rPr>
              <w:rStyle w:val="17"/>
              <w:rFonts w:eastAsia="楷体_GB2312" w:cs="Times New Roman"/>
              <w:sz w:val="30"/>
              <w:szCs w:val="30"/>
            </w:rPr>
            <w:fldChar w:fldCharType="separate"/>
          </w:r>
          <w:r>
            <w:rPr>
              <w:rStyle w:val="17"/>
              <w:rFonts w:eastAsia="楷体_GB2312" w:cs="Times New Roman"/>
              <w:sz w:val="30"/>
              <w:szCs w:val="30"/>
            </w:rPr>
            <w:t>30</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4085C4AA">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"_Toc180074445" </w:instrText>
          </w:r>
          <w:r>
            <w:fldChar w:fldCharType="separate"/>
          </w:r>
          <w:r>
            <w:rPr>
              <w:rStyle w:val="17"/>
              <w:rFonts w:eastAsia="楷体_GB2312" w:cs="Times New Roman"/>
              <w:sz w:val="30"/>
              <w:szCs w:val="30"/>
            </w:rPr>
            <w:t>三、实施品牌质量提升行动，打造品质凤丹</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_Toc180074445 \h </w:instrText>
          </w:r>
          <w:r>
            <w:rPr>
              <w:rStyle w:val="17"/>
              <w:rFonts w:eastAsia="楷体_GB2312" w:cs="Times New Roman"/>
              <w:sz w:val="30"/>
              <w:szCs w:val="30"/>
            </w:rPr>
            <w:fldChar w:fldCharType="separate"/>
          </w:r>
          <w:r>
            <w:rPr>
              <w:rStyle w:val="17"/>
              <w:rFonts w:eastAsia="楷体_GB2312" w:cs="Times New Roman"/>
              <w:sz w:val="30"/>
              <w:szCs w:val="30"/>
            </w:rPr>
            <w:t>34</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3F7B1D41">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"_Toc180074451" </w:instrText>
          </w:r>
          <w:r>
            <w:fldChar w:fldCharType="separate"/>
          </w:r>
          <w:r>
            <w:rPr>
              <w:rStyle w:val="17"/>
              <w:rFonts w:eastAsia="楷体_GB2312" w:cs="Times New Roman"/>
              <w:sz w:val="30"/>
              <w:szCs w:val="30"/>
            </w:rPr>
            <w:t>四、实施凤丹文化开发行动，打造人文凤丹</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_Toc180074451 \h </w:instrText>
          </w:r>
          <w:r>
            <w:rPr>
              <w:rStyle w:val="17"/>
              <w:rFonts w:eastAsia="楷体_GB2312" w:cs="Times New Roman"/>
              <w:sz w:val="30"/>
              <w:szCs w:val="30"/>
            </w:rPr>
            <w:fldChar w:fldCharType="separate"/>
          </w:r>
          <w:r>
            <w:rPr>
              <w:rStyle w:val="17"/>
              <w:rFonts w:eastAsia="楷体_GB2312" w:cs="Times New Roman"/>
              <w:sz w:val="30"/>
              <w:szCs w:val="30"/>
            </w:rPr>
            <w:t>38</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05E83139">
          <w:pPr>
            <w:pStyle w:val="11"/>
            <w:tabs>
              <w:tab w:val="right" w:leader="dot" w:pos="8296"/>
            </w:tabs>
            <w:adjustRightInd w:val="0"/>
            <w:snapToGrid w:val="0"/>
            <w:spacing w:before="217" w:after="217" w:line="240" w:lineRule="auto"/>
            <w:ind w:left="419" w:leftChars="131" w:firstLine="198" w:firstLineChars="62"/>
            <w:rPr>
              <w:rStyle w:val="17"/>
              <w:rFonts w:eastAsia="楷体_GB2312" w:cs="Times New Roman"/>
              <w:sz w:val="30"/>
              <w:szCs w:val="30"/>
            </w:rPr>
          </w:pPr>
          <w:r>
            <w:fldChar w:fldCharType="begin"/>
          </w:r>
          <w:r>
            <w:instrText xml:space="preserve"> HYPERLINK \l "_Toc180074455" </w:instrText>
          </w:r>
          <w:r>
            <w:fldChar w:fldCharType="separate"/>
          </w:r>
          <w:r>
            <w:rPr>
              <w:rStyle w:val="17"/>
              <w:rFonts w:eastAsia="楷体_GB2312" w:cs="Times New Roman"/>
              <w:sz w:val="30"/>
              <w:szCs w:val="30"/>
            </w:rPr>
            <w:t>五、实施凤丹绿色提质行动，打造生态凤丹</w:t>
          </w:r>
          <w:r>
            <w:tab/>
          </w:r>
          <w:r>
            <w:rPr>
              <w:rStyle w:val="17"/>
              <w:rFonts w:eastAsia="楷体_GB2312" w:cs="Times New Roman"/>
              <w:sz w:val="30"/>
              <w:szCs w:val="30"/>
            </w:rPr>
            <w:fldChar w:fldCharType="begin"/>
          </w:r>
          <w:r>
            <w:rPr>
              <w:rStyle w:val="17"/>
              <w:rFonts w:eastAsia="楷体_GB2312" w:cs="Times New Roman"/>
              <w:sz w:val="30"/>
              <w:szCs w:val="30"/>
            </w:rPr>
            <w:instrText xml:space="preserve"> PAGEREF _Toc180074455 \h </w:instrText>
          </w:r>
          <w:r>
            <w:rPr>
              <w:rStyle w:val="17"/>
              <w:rFonts w:eastAsia="楷体_GB2312" w:cs="Times New Roman"/>
              <w:sz w:val="30"/>
              <w:szCs w:val="30"/>
            </w:rPr>
            <w:fldChar w:fldCharType="separate"/>
          </w:r>
          <w:r>
            <w:rPr>
              <w:rStyle w:val="17"/>
              <w:rFonts w:eastAsia="楷体_GB2312" w:cs="Times New Roman"/>
              <w:sz w:val="30"/>
              <w:szCs w:val="30"/>
            </w:rPr>
            <w:t>41</w:t>
          </w:r>
          <w:r>
            <w:rPr>
              <w:rStyle w:val="17"/>
              <w:rFonts w:eastAsia="楷体_GB2312" w:cs="Times New Roman"/>
              <w:sz w:val="30"/>
              <w:szCs w:val="30"/>
            </w:rPr>
            <w:fldChar w:fldCharType="end"/>
          </w:r>
          <w:r>
            <w:rPr>
              <w:rStyle w:val="17"/>
              <w:rFonts w:eastAsia="楷体_GB2312" w:cs="Times New Roman"/>
              <w:sz w:val="30"/>
              <w:szCs w:val="30"/>
            </w:rPr>
            <w:fldChar w:fldCharType="end"/>
          </w:r>
        </w:p>
        <w:p w14:paraId="2836A5F9">
          <w:pPr>
            <w:pStyle w:val="10"/>
            <w:rPr>
              <w:rFonts w:eastAsiaTheme="minorEastAsia"/>
              <w:sz w:val="21"/>
              <w:szCs w:val="22"/>
            </w:rPr>
          </w:pPr>
          <w:r>
            <w:fldChar w:fldCharType="begin"/>
          </w:r>
          <w:r>
            <w:instrText xml:space="preserve"> HYPERLINK \l "_Toc180074458" </w:instrText>
          </w:r>
          <w:r>
            <w:fldChar w:fldCharType="separate"/>
          </w:r>
          <w:r>
            <w:rPr>
              <w:rStyle w:val="17"/>
            </w:rPr>
            <w:t>第五章 保障措施</w:t>
          </w:r>
          <w:r>
            <w:tab/>
          </w:r>
          <w:r>
            <w:fldChar w:fldCharType="begin"/>
          </w:r>
          <w:r>
            <w:instrText xml:space="preserve"> PAGEREF _Toc180074458 \h </w:instrText>
          </w:r>
          <w:r>
            <w:fldChar w:fldCharType="separate"/>
          </w:r>
          <w:r>
            <w:t>43</w:t>
          </w:r>
          <w:r>
            <w:fldChar w:fldCharType="end"/>
          </w:r>
          <w:r>
            <w:fldChar w:fldCharType="end"/>
          </w:r>
        </w:p>
        <w:p w14:paraId="538A1B5F">
          <w:pPr>
            <w:pStyle w:val="11"/>
            <w:tabs>
              <w:tab w:val="right" w:leader="dot" w:pos="8296"/>
            </w:tabs>
            <w:adjustRightInd w:val="0"/>
            <w:snapToGrid w:val="0"/>
            <w:spacing w:before="217" w:after="217" w:line="240" w:lineRule="auto"/>
            <w:ind w:left="419" w:leftChars="131" w:firstLine="198" w:firstLineChars="62"/>
            <w:rPr>
              <w:rFonts w:eastAsia="楷体_GB2312" w:cs="Times New Roman"/>
              <w:sz w:val="30"/>
              <w:szCs w:val="30"/>
            </w:rPr>
          </w:pPr>
          <w:r>
            <w:fldChar w:fldCharType="begin"/>
          </w:r>
          <w:r>
            <w:instrText xml:space="preserve"> HYPERLINK \l "_Toc180074459" </w:instrText>
          </w:r>
          <w:r>
            <w:fldChar w:fldCharType="separate"/>
          </w:r>
          <w:r>
            <w:rPr>
              <w:rStyle w:val="17"/>
              <w:rFonts w:eastAsia="楷体_GB2312" w:cs="Times New Roman"/>
              <w:sz w:val="30"/>
              <w:szCs w:val="30"/>
            </w:rPr>
            <w:t>一、加强组织领导</w:t>
          </w:r>
          <w:r>
            <w:tab/>
          </w:r>
          <w:r>
            <w:rPr>
              <w:rFonts w:eastAsia="楷体_GB2312" w:cs="Times New Roman"/>
              <w:sz w:val="30"/>
              <w:szCs w:val="30"/>
            </w:rPr>
            <w:fldChar w:fldCharType="begin"/>
          </w:r>
          <w:r>
            <w:rPr>
              <w:rFonts w:eastAsia="楷体_GB2312" w:cs="Times New Roman"/>
              <w:sz w:val="30"/>
              <w:szCs w:val="30"/>
            </w:rPr>
            <w:instrText xml:space="preserve"> PAGEREF _Toc180074459 \h </w:instrText>
          </w:r>
          <w:r>
            <w:rPr>
              <w:rFonts w:eastAsia="楷体_GB2312" w:cs="Times New Roman"/>
              <w:sz w:val="30"/>
              <w:szCs w:val="30"/>
            </w:rPr>
            <w:fldChar w:fldCharType="separate"/>
          </w:r>
          <w:r>
            <w:rPr>
              <w:rFonts w:eastAsia="楷体_GB2312" w:cs="Times New Roman"/>
              <w:sz w:val="30"/>
              <w:szCs w:val="30"/>
            </w:rPr>
            <w:t>43</w:t>
          </w:r>
          <w:r>
            <w:rPr>
              <w:rFonts w:eastAsia="楷体_GB2312" w:cs="Times New Roman"/>
              <w:sz w:val="30"/>
              <w:szCs w:val="30"/>
            </w:rPr>
            <w:fldChar w:fldCharType="end"/>
          </w:r>
          <w:r>
            <w:rPr>
              <w:rFonts w:eastAsia="楷体_GB2312" w:cs="Times New Roman"/>
              <w:sz w:val="30"/>
              <w:szCs w:val="30"/>
            </w:rPr>
            <w:fldChar w:fldCharType="end"/>
          </w:r>
        </w:p>
        <w:p w14:paraId="7448E426">
          <w:pPr>
            <w:pStyle w:val="11"/>
            <w:tabs>
              <w:tab w:val="right" w:leader="dot" w:pos="8296"/>
            </w:tabs>
            <w:adjustRightInd w:val="0"/>
            <w:snapToGrid w:val="0"/>
            <w:spacing w:before="217" w:after="217" w:line="240" w:lineRule="auto"/>
            <w:ind w:left="419" w:leftChars="131" w:firstLine="198" w:firstLineChars="62"/>
            <w:rPr>
              <w:rFonts w:eastAsia="楷体_GB2312" w:cs="Times New Roman"/>
              <w:sz w:val="30"/>
              <w:szCs w:val="30"/>
            </w:rPr>
          </w:pPr>
          <w:r>
            <w:fldChar w:fldCharType="begin"/>
          </w:r>
          <w:r>
            <w:instrText xml:space="preserve"> HYPERLINK \l "_Toc180074460" </w:instrText>
          </w:r>
          <w:r>
            <w:fldChar w:fldCharType="separate"/>
          </w:r>
          <w:r>
            <w:rPr>
              <w:rStyle w:val="17"/>
              <w:rFonts w:eastAsia="楷体_GB2312" w:cs="Times New Roman"/>
              <w:sz w:val="30"/>
              <w:szCs w:val="30"/>
            </w:rPr>
            <w:t>二、加强政策支持</w:t>
          </w:r>
          <w:r>
            <w:tab/>
          </w:r>
          <w:r>
            <w:rPr>
              <w:rFonts w:eastAsia="楷体_GB2312" w:cs="Times New Roman"/>
              <w:sz w:val="30"/>
              <w:szCs w:val="30"/>
            </w:rPr>
            <w:fldChar w:fldCharType="begin"/>
          </w:r>
          <w:r>
            <w:rPr>
              <w:rFonts w:eastAsia="楷体_GB2312" w:cs="Times New Roman"/>
              <w:sz w:val="30"/>
              <w:szCs w:val="30"/>
            </w:rPr>
            <w:instrText xml:space="preserve"> PAGEREF _Toc180074460 \h </w:instrText>
          </w:r>
          <w:r>
            <w:rPr>
              <w:rFonts w:eastAsia="楷体_GB2312" w:cs="Times New Roman"/>
              <w:sz w:val="30"/>
              <w:szCs w:val="30"/>
            </w:rPr>
            <w:fldChar w:fldCharType="separate"/>
          </w:r>
          <w:r>
            <w:rPr>
              <w:rFonts w:eastAsia="楷体_GB2312" w:cs="Times New Roman"/>
              <w:sz w:val="30"/>
              <w:szCs w:val="30"/>
            </w:rPr>
            <w:t>44</w:t>
          </w:r>
          <w:r>
            <w:rPr>
              <w:rFonts w:eastAsia="楷体_GB2312" w:cs="Times New Roman"/>
              <w:sz w:val="30"/>
              <w:szCs w:val="30"/>
            </w:rPr>
            <w:fldChar w:fldCharType="end"/>
          </w:r>
          <w:r>
            <w:rPr>
              <w:rFonts w:eastAsia="楷体_GB2312" w:cs="Times New Roman"/>
              <w:sz w:val="30"/>
              <w:szCs w:val="30"/>
            </w:rPr>
            <w:fldChar w:fldCharType="end"/>
          </w:r>
        </w:p>
        <w:p w14:paraId="2B658170">
          <w:pPr>
            <w:pStyle w:val="11"/>
            <w:tabs>
              <w:tab w:val="right" w:leader="dot" w:pos="8296"/>
            </w:tabs>
            <w:adjustRightInd w:val="0"/>
            <w:snapToGrid w:val="0"/>
            <w:spacing w:before="217" w:after="217" w:line="240" w:lineRule="auto"/>
            <w:ind w:left="419" w:leftChars="131" w:firstLine="198" w:firstLineChars="62"/>
            <w:rPr>
              <w:rFonts w:eastAsia="楷体_GB2312" w:cs="Times New Roman"/>
              <w:sz w:val="30"/>
              <w:szCs w:val="30"/>
            </w:rPr>
          </w:pPr>
          <w:r>
            <w:fldChar w:fldCharType="begin"/>
          </w:r>
          <w:r>
            <w:instrText xml:space="preserve"> HYPERLINK \l "_Toc180074461" </w:instrText>
          </w:r>
          <w:r>
            <w:fldChar w:fldCharType="separate"/>
          </w:r>
          <w:r>
            <w:rPr>
              <w:rStyle w:val="17"/>
              <w:rFonts w:eastAsia="楷体_GB2312" w:cs="Times New Roman"/>
              <w:sz w:val="30"/>
              <w:szCs w:val="30"/>
            </w:rPr>
            <w:t>三、加强资金投入</w:t>
          </w:r>
          <w:r>
            <w:tab/>
          </w:r>
          <w:r>
            <w:rPr>
              <w:rFonts w:eastAsia="楷体_GB2312" w:cs="Times New Roman"/>
              <w:sz w:val="30"/>
              <w:szCs w:val="30"/>
            </w:rPr>
            <w:fldChar w:fldCharType="begin"/>
          </w:r>
          <w:r>
            <w:rPr>
              <w:rFonts w:eastAsia="楷体_GB2312" w:cs="Times New Roman"/>
              <w:sz w:val="30"/>
              <w:szCs w:val="30"/>
            </w:rPr>
            <w:instrText xml:space="preserve"> PAGEREF _Toc180074461 \h </w:instrText>
          </w:r>
          <w:r>
            <w:rPr>
              <w:rFonts w:eastAsia="楷体_GB2312" w:cs="Times New Roman"/>
              <w:sz w:val="30"/>
              <w:szCs w:val="30"/>
            </w:rPr>
            <w:fldChar w:fldCharType="separate"/>
          </w:r>
          <w:r>
            <w:rPr>
              <w:rFonts w:eastAsia="楷体_GB2312" w:cs="Times New Roman"/>
              <w:sz w:val="30"/>
              <w:szCs w:val="30"/>
            </w:rPr>
            <w:t>44</w:t>
          </w:r>
          <w:r>
            <w:rPr>
              <w:rFonts w:eastAsia="楷体_GB2312" w:cs="Times New Roman"/>
              <w:sz w:val="30"/>
              <w:szCs w:val="30"/>
            </w:rPr>
            <w:fldChar w:fldCharType="end"/>
          </w:r>
          <w:r>
            <w:rPr>
              <w:rFonts w:eastAsia="楷体_GB2312" w:cs="Times New Roman"/>
              <w:sz w:val="30"/>
              <w:szCs w:val="30"/>
            </w:rPr>
            <w:fldChar w:fldCharType="end"/>
          </w:r>
        </w:p>
        <w:p w14:paraId="7023746F">
          <w:pPr>
            <w:pStyle w:val="11"/>
            <w:tabs>
              <w:tab w:val="right" w:leader="dot" w:pos="8296"/>
            </w:tabs>
            <w:adjustRightInd w:val="0"/>
            <w:snapToGrid w:val="0"/>
            <w:spacing w:before="217" w:after="217" w:line="240" w:lineRule="auto"/>
            <w:ind w:left="419" w:leftChars="131" w:firstLine="198" w:firstLineChars="62"/>
            <w:rPr>
              <w:rFonts w:eastAsia="楷体_GB2312" w:cs="Times New Roman"/>
              <w:sz w:val="30"/>
              <w:szCs w:val="30"/>
            </w:rPr>
          </w:pPr>
          <w:r>
            <w:fldChar w:fldCharType="begin"/>
          </w:r>
          <w:r>
            <w:instrText xml:space="preserve"> HYPERLINK \l "_Toc180074462" </w:instrText>
          </w:r>
          <w:r>
            <w:fldChar w:fldCharType="separate"/>
          </w:r>
          <w:r>
            <w:rPr>
              <w:rStyle w:val="17"/>
              <w:rFonts w:eastAsia="楷体_GB2312" w:cs="Times New Roman"/>
              <w:sz w:val="30"/>
              <w:szCs w:val="30"/>
            </w:rPr>
            <w:t>四、加强监督考核</w:t>
          </w:r>
          <w:r>
            <w:tab/>
          </w:r>
          <w:r>
            <w:rPr>
              <w:rFonts w:eastAsia="楷体_GB2312" w:cs="Times New Roman"/>
              <w:sz w:val="30"/>
              <w:szCs w:val="30"/>
            </w:rPr>
            <w:fldChar w:fldCharType="begin"/>
          </w:r>
          <w:r>
            <w:rPr>
              <w:rFonts w:eastAsia="楷体_GB2312" w:cs="Times New Roman"/>
              <w:sz w:val="30"/>
              <w:szCs w:val="30"/>
            </w:rPr>
            <w:instrText xml:space="preserve"> PAGEREF _Toc180074462 \h </w:instrText>
          </w:r>
          <w:r>
            <w:rPr>
              <w:rFonts w:eastAsia="楷体_GB2312" w:cs="Times New Roman"/>
              <w:sz w:val="30"/>
              <w:szCs w:val="30"/>
            </w:rPr>
            <w:fldChar w:fldCharType="separate"/>
          </w:r>
          <w:r>
            <w:rPr>
              <w:rFonts w:eastAsia="楷体_GB2312" w:cs="Times New Roman"/>
              <w:sz w:val="30"/>
              <w:szCs w:val="30"/>
            </w:rPr>
            <w:t>45</w:t>
          </w:r>
          <w:r>
            <w:rPr>
              <w:rFonts w:eastAsia="楷体_GB2312" w:cs="Times New Roman"/>
              <w:sz w:val="30"/>
              <w:szCs w:val="30"/>
            </w:rPr>
            <w:fldChar w:fldCharType="end"/>
          </w:r>
          <w:r>
            <w:rPr>
              <w:rFonts w:eastAsia="楷体_GB2312" w:cs="Times New Roman"/>
              <w:sz w:val="30"/>
              <w:szCs w:val="30"/>
            </w:rPr>
            <w:fldChar w:fldCharType="end"/>
          </w:r>
        </w:p>
        <w:p w14:paraId="1B36C2DC">
          <w:pPr>
            <w:pStyle w:val="11"/>
            <w:tabs>
              <w:tab w:val="right" w:leader="dot" w:pos="8296"/>
            </w:tabs>
            <w:adjustRightInd w:val="0"/>
            <w:snapToGrid w:val="0"/>
            <w:spacing w:before="217" w:after="217" w:line="240" w:lineRule="auto"/>
            <w:ind w:left="419" w:leftChars="131" w:firstLine="198" w:firstLineChars="62"/>
            <w:rPr>
              <w:rFonts w:eastAsia="楷体_GB2312" w:cs="Times New Roman"/>
              <w:sz w:val="30"/>
              <w:szCs w:val="30"/>
            </w:rPr>
          </w:pPr>
          <w:r>
            <w:fldChar w:fldCharType="begin"/>
          </w:r>
          <w:r>
            <w:instrText xml:space="preserve"> HYPERLINK \l "_Toc180074463" </w:instrText>
          </w:r>
          <w:r>
            <w:fldChar w:fldCharType="separate"/>
          </w:r>
          <w:r>
            <w:rPr>
              <w:rStyle w:val="17"/>
              <w:rFonts w:eastAsia="楷体_GB2312" w:cs="Times New Roman"/>
              <w:sz w:val="30"/>
              <w:szCs w:val="30"/>
            </w:rPr>
            <w:t>五、加强宣传引导</w:t>
          </w:r>
          <w:r>
            <w:tab/>
          </w:r>
          <w:r>
            <w:rPr>
              <w:rFonts w:eastAsia="楷体_GB2312" w:cs="Times New Roman"/>
              <w:sz w:val="30"/>
              <w:szCs w:val="30"/>
            </w:rPr>
            <w:fldChar w:fldCharType="begin"/>
          </w:r>
          <w:r>
            <w:rPr>
              <w:rFonts w:eastAsia="楷体_GB2312" w:cs="Times New Roman"/>
              <w:sz w:val="30"/>
              <w:szCs w:val="30"/>
            </w:rPr>
            <w:instrText xml:space="preserve"> PAGEREF _Toc180074463 \h </w:instrText>
          </w:r>
          <w:r>
            <w:rPr>
              <w:rFonts w:eastAsia="楷体_GB2312" w:cs="Times New Roman"/>
              <w:sz w:val="30"/>
              <w:szCs w:val="30"/>
            </w:rPr>
            <w:fldChar w:fldCharType="separate"/>
          </w:r>
          <w:r>
            <w:rPr>
              <w:rFonts w:eastAsia="楷体_GB2312" w:cs="Times New Roman"/>
              <w:sz w:val="30"/>
              <w:szCs w:val="30"/>
            </w:rPr>
            <w:t>46</w:t>
          </w:r>
          <w:r>
            <w:rPr>
              <w:rFonts w:eastAsia="楷体_GB2312" w:cs="Times New Roman"/>
              <w:sz w:val="30"/>
              <w:szCs w:val="30"/>
            </w:rPr>
            <w:fldChar w:fldCharType="end"/>
          </w:r>
          <w:r>
            <w:rPr>
              <w:rFonts w:eastAsia="楷体_GB2312" w:cs="Times New Roman"/>
              <w:sz w:val="30"/>
              <w:szCs w:val="30"/>
            </w:rPr>
            <w:fldChar w:fldCharType="end"/>
          </w:r>
        </w:p>
        <w:p w14:paraId="077B4B1E">
          <w:pPr>
            <w:adjustRightInd w:val="0"/>
            <w:snapToGrid w:val="0"/>
            <w:spacing w:before="0" w:beforeLines="0" w:after="217" w:line="240" w:lineRule="auto"/>
            <w:ind w:firstLine="0" w:firstLineChars="0"/>
            <w:rPr>
              <w:rFonts w:cs="Times New Roman"/>
            </w:rPr>
          </w:pPr>
          <w:r>
            <w:rPr>
              <w:rFonts w:cs="Times New Roman"/>
              <w:b/>
              <w:bCs/>
              <w:sz w:val="30"/>
              <w:szCs w:val="30"/>
              <w:lang w:val="zh-CN"/>
            </w:rPr>
            <w:fldChar w:fldCharType="end"/>
          </w:r>
        </w:p>
      </w:sdtContent>
    </w:sdt>
    <w:p w14:paraId="1FFD66E3">
      <w:pPr>
        <w:pStyle w:val="22"/>
        <w:spacing w:before="0" w:beforeLines="0" w:after="0" w:afterLines="0"/>
        <w:jc w:val="both"/>
        <w:rPr>
          <w:rFonts w:eastAsia="楷体_GB2312" w:cs="Times New Roman"/>
          <w:sz w:val="32"/>
          <w:szCs w:val="32"/>
        </w:rPr>
      </w:pPr>
    </w:p>
    <w:p w14:paraId="5760D3A7">
      <w:pPr>
        <w:pStyle w:val="22"/>
        <w:spacing w:before="0" w:beforeLines="0" w:after="0" w:afterLines="0"/>
        <w:jc w:val="both"/>
        <w:rPr>
          <w:rFonts w:eastAsia="楷体_GB2312" w:cs="Times New Roman"/>
          <w:sz w:val="32"/>
          <w:szCs w:val="32"/>
        </w:rPr>
      </w:pPr>
    </w:p>
    <w:p w14:paraId="38A4888F">
      <w:pPr>
        <w:pStyle w:val="22"/>
        <w:spacing w:before="0" w:beforeLines="0" w:after="0" w:afterLines="0"/>
        <w:jc w:val="both"/>
        <w:rPr>
          <w:rFonts w:eastAsia="楷体_GB2312" w:cs="Times New Roman"/>
          <w:sz w:val="32"/>
          <w:szCs w:val="32"/>
        </w:rPr>
      </w:pPr>
    </w:p>
    <w:p w14:paraId="1B179617">
      <w:pPr>
        <w:pStyle w:val="22"/>
        <w:spacing w:before="0" w:beforeLines="0" w:after="0" w:afterLines="0"/>
        <w:jc w:val="both"/>
        <w:rPr>
          <w:rFonts w:eastAsia="楷体_GB2312" w:cs="Times New Roman"/>
          <w:sz w:val="32"/>
          <w:szCs w:val="32"/>
        </w:rPr>
      </w:pPr>
    </w:p>
    <w:p w14:paraId="72E5B669">
      <w:pPr>
        <w:pStyle w:val="22"/>
        <w:spacing w:before="0" w:beforeLines="0" w:after="0" w:afterLines="0"/>
        <w:jc w:val="both"/>
        <w:rPr>
          <w:rFonts w:eastAsia="楷体_GB2312" w:cs="Times New Roman"/>
          <w:sz w:val="32"/>
          <w:szCs w:val="32"/>
        </w:rPr>
      </w:pPr>
    </w:p>
    <w:p w14:paraId="7193D3FA">
      <w:pPr>
        <w:pStyle w:val="22"/>
        <w:spacing w:before="0" w:beforeLines="0" w:after="0" w:afterLines="0"/>
        <w:jc w:val="both"/>
        <w:rPr>
          <w:rFonts w:eastAsia="楷体_GB2312" w:cs="Times New Roman"/>
          <w:sz w:val="32"/>
          <w:szCs w:val="32"/>
        </w:rPr>
      </w:pPr>
    </w:p>
    <w:p w14:paraId="16804D00">
      <w:pPr>
        <w:pStyle w:val="22"/>
        <w:spacing w:before="0" w:beforeLines="0" w:after="0" w:afterLines="0"/>
        <w:jc w:val="both"/>
        <w:rPr>
          <w:rFonts w:eastAsia="楷体_GB2312" w:cs="Times New Roman"/>
          <w:sz w:val="32"/>
          <w:szCs w:val="32"/>
        </w:rPr>
        <w:sectPr>
          <w:footerReference r:id="rId13" w:type="first"/>
          <w:footerReference r:id="rId11" w:type="default"/>
          <w:footerReference r:id="rId12" w:type="even"/>
          <w:pgSz w:w="11906" w:h="16838"/>
          <w:pgMar w:top="1440" w:right="1800" w:bottom="1440" w:left="1800" w:header="851" w:footer="992" w:gutter="0"/>
          <w:pgNumType w:fmt="upperRoman" w:start="1"/>
          <w:cols w:space="425" w:num="1"/>
          <w:titlePg/>
          <w:docGrid w:type="lines" w:linePitch="435" w:charSpace="0"/>
        </w:sectPr>
      </w:pPr>
    </w:p>
    <w:p w14:paraId="332A48DD">
      <w:pPr>
        <w:pStyle w:val="2"/>
        <w:spacing w:before="217" w:after="217"/>
        <w:ind w:left="643" w:firstLine="0" w:firstLineChars="0"/>
        <w:rPr>
          <w:rFonts w:cs="Times New Roman"/>
        </w:rPr>
      </w:pPr>
      <w:bookmarkStart w:id="0" w:name="_Toc180074404"/>
      <w:r>
        <w:rPr>
          <w:rFonts w:cs="Times New Roman"/>
        </w:rPr>
        <w:t>第一章 产业基础概况</w:t>
      </w:r>
      <w:bookmarkEnd w:id="0"/>
    </w:p>
    <w:p w14:paraId="1956ACEA">
      <w:pPr>
        <w:pStyle w:val="3"/>
        <w:spacing w:before="217" w:after="217"/>
        <w:ind w:firstLine="643"/>
        <w:rPr>
          <w:rFonts w:cs="Times New Roman"/>
          <w:b/>
          <w:bCs w:val="0"/>
        </w:rPr>
      </w:pPr>
      <w:bookmarkStart w:id="1" w:name="_Toc180074405"/>
      <w:r>
        <w:rPr>
          <w:rFonts w:cs="Times New Roman"/>
          <w:b/>
          <w:bCs w:val="0"/>
        </w:rPr>
        <w:t>一、全国牡丹产业发展现状</w:t>
      </w:r>
      <w:bookmarkEnd w:id="1"/>
    </w:p>
    <w:p w14:paraId="31C9C25A">
      <w:pPr>
        <w:pStyle w:val="5"/>
        <w:spacing w:before="217" w:after="217"/>
        <w:ind w:firstLine="640"/>
      </w:pPr>
      <w:r>
        <w:rPr>
          <w:rFonts w:hint="eastAsia"/>
        </w:rPr>
        <w:t>牡丹，拉丁学名为Paeonia suffruticosa Andr.，是芍药科、芍药属植物，为多年生落叶小灌木。牡丹品种繁多、花色丰富、花型多样，兼具观赏、食用、药用及文化价值。牡丹9个野生种全部原产于中国，最早的距今已有两千多年的栽培历史，是中国特有的木本名贵花卉。据中国林业网记载，中国牡丹园艺品种根据栽培地区和野生原种的不同，可分为4个牡丹品种群，即中原品种群、 西北品种群、江南品种群和西南品种群。</w:t>
      </w:r>
    </w:p>
    <w:p w14:paraId="2D4B70AA">
      <w:pPr>
        <w:pStyle w:val="4"/>
        <w:rPr>
          <w:rFonts w:cs="Times New Roman"/>
        </w:rPr>
      </w:pPr>
      <w:bookmarkStart w:id="2" w:name="_Toc180020956"/>
      <w:bookmarkStart w:id="3" w:name="_Toc180074406"/>
      <w:r>
        <w:rPr>
          <w:rFonts w:cs="Times New Roman"/>
        </w:rPr>
        <w:t>1、产业规模稳步增长</w:t>
      </w:r>
      <w:bookmarkEnd w:id="2"/>
      <w:bookmarkEnd w:id="3"/>
    </w:p>
    <w:p w14:paraId="345B1A01">
      <w:pPr>
        <w:pStyle w:val="5"/>
        <w:spacing w:before="217" w:after="217"/>
        <w:ind w:firstLine="640"/>
        <w:rPr>
          <w:rFonts w:cs="Times New Roman"/>
        </w:rPr>
      </w:pPr>
      <w:r>
        <w:rPr>
          <w:rFonts w:cs="Times New Roman"/>
        </w:rPr>
        <w:t>近年来，随着人民生活水平的不断提高，牡丹除了观赏外的药用价值、</w:t>
      </w:r>
      <w:r>
        <w:rPr>
          <w:rFonts w:hint="eastAsia" w:cs="Times New Roman"/>
        </w:rPr>
        <w:t>食用</w:t>
      </w:r>
      <w:r>
        <w:rPr>
          <w:rFonts w:cs="Times New Roman"/>
        </w:rPr>
        <w:t>价值等被不断挖掘，</w:t>
      </w:r>
      <w:r>
        <w:rPr>
          <w:rFonts w:hint="eastAsia" w:cs="Times New Roman"/>
        </w:rPr>
        <w:t>叠加</w:t>
      </w:r>
      <w:r>
        <w:rPr>
          <w:rFonts w:cs="Times New Roman"/>
        </w:rPr>
        <w:t>国家提出重点发展以牡丹籽油为代表的木本油料产业，我国牡丹种植面积、市场规模等实现了稳步增长，牡丹产业在我国花卉市场中的地位不断提升。据统计，2023年我国牡丹总种植面积已经达到了200万亩以上，年产值超过500亿元。其中，油用牡丹作为木本粮油植物资源得到了有效的开发利用，在食品、化妆品、医药等领域均有广泛应用，目前全国油用牡丹种植面积194万亩，年产牡丹籽油5.3万吨，油用牡丹高效栽培模式示范推广面积11万亩，亩产超过250公斤，已开发出牡丹相关的产品200余种。</w:t>
      </w:r>
    </w:p>
    <w:p w14:paraId="3A142623">
      <w:pPr>
        <w:pStyle w:val="4"/>
        <w:rPr>
          <w:rFonts w:cs="Times New Roman"/>
        </w:rPr>
      </w:pPr>
      <w:bookmarkStart w:id="4" w:name="_Toc180020957"/>
      <w:bookmarkStart w:id="5" w:name="_Toc180074407"/>
      <w:r>
        <w:rPr>
          <w:rFonts w:cs="Times New Roman"/>
        </w:rPr>
        <w:t>2、牡丹地域分布广泛</w:t>
      </w:r>
      <w:bookmarkEnd w:id="4"/>
      <w:bookmarkEnd w:id="5"/>
    </w:p>
    <w:p w14:paraId="194FB290">
      <w:pPr>
        <w:pStyle w:val="5"/>
        <w:spacing w:before="217" w:after="217"/>
        <w:ind w:firstLine="640"/>
        <w:rPr>
          <w:rFonts w:cs="Times New Roman"/>
        </w:rPr>
      </w:pPr>
      <w:r>
        <w:rPr>
          <w:rFonts w:cs="Times New Roman"/>
        </w:rPr>
        <w:t>中国牡丹产地分布广泛，其中山东菏泽和河南洛阳是我国最著名的栽培中心</w:t>
      </w:r>
      <w:r>
        <w:rPr>
          <w:rFonts w:hint="eastAsia" w:cs="Times New Roman"/>
        </w:rPr>
        <w:t>，</w:t>
      </w:r>
      <w:r>
        <w:rPr>
          <w:rFonts w:cs="Times New Roman"/>
        </w:rPr>
        <w:t>据统计，菏泽共有9大色系、10种花型、1000多个品种，2023年全市牡丹产业产值达到130亿元；洛阳牡丹共有9大色系、10种花型、1400多个品种，2023年牡丹产业产值13亿元、牡丹节会总收入278亿元</w:t>
      </w:r>
      <w:r>
        <w:rPr>
          <w:rFonts w:hint="eastAsia" w:cs="Times New Roman"/>
        </w:rPr>
        <w:t>。</w:t>
      </w:r>
      <w:r>
        <w:rPr>
          <w:rFonts w:cs="Times New Roman"/>
        </w:rPr>
        <w:t>除此之外，江苏盐城、甘肃临夏、安徽铜陵、河北柏山、陕西汉中、四川彭州等地也是我国重要的牡丹产区，已经形成了以甘肃兰州为中心的西北牡丹栽培中心、以安徽铜陵为中心的南方牡丹栽培中心、以四川彭州为中心的西南牡丹栽培中心。其中，我国油用牡丹主要分布在山东、河南、河北、陕西、安徽、辽宁、湖北、山西等省份。</w:t>
      </w:r>
    </w:p>
    <w:p w14:paraId="315A221A">
      <w:pPr>
        <w:pStyle w:val="4"/>
        <w:rPr>
          <w:rFonts w:cs="Times New Roman"/>
        </w:rPr>
      </w:pPr>
      <w:bookmarkStart w:id="6" w:name="_Toc180074408"/>
      <w:bookmarkStart w:id="7" w:name="_Toc180020958"/>
      <w:r>
        <w:rPr>
          <w:rFonts w:cs="Times New Roman"/>
        </w:rPr>
        <w:t>3、产业链条不断完善</w:t>
      </w:r>
      <w:bookmarkEnd w:id="6"/>
      <w:bookmarkEnd w:id="7"/>
    </w:p>
    <w:p w14:paraId="2786EEC3">
      <w:pPr>
        <w:spacing w:before="217" w:after="217"/>
        <w:ind w:firstLine="640"/>
        <w:rPr>
          <w:rFonts w:cs="Times New Roman"/>
        </w:rPr>
      </w:pPr>
      <w:r>
        <w:rPr>
          <w:rFonts w:cs="Times New Roman"/>
        </w:rPr>
        <w:t>牡丹发展历史悠久，过去牡丹主要以观赏价值和药用价值为主，随着近年来食用价值不断开发，牡丹产业链不断完善，逐步形成了牡丹种植—初加工—精深加工—花卉销售—观光旅游等完整的产业链条，牡丹产品从最初的丹皮逐渐拓展丰富到牡丹鲜切花、牡丹花蕊茶、牡丹花瓣食品、牡丹酒、牡丹籽油、牡丹籽粕添加饲料及日化、美妆、</w:t>
      </w:r>
      <w:r>
        <w:rPr>
          <w:rFonts w:hint="eastAsia" w:cs="Times New Roman"/>
        </w:rPr>
        <w:t>保健食品</w:t>
      </w:r>
      <w:r>
        <w:rPr>
          <w:rFonts w:cs="Times New Roman"/>
        </w:rPr>
        <w:t>等，世界牡丹大会、菏泽国际牡丹文化旅游节、中国洛阳牡丹文化节、</w:t>
      </w:r>
      <w:bookmarkStart w:id="8" w:name="OLE_LINK3"/>
      <w:r>
        <w:rPr>
          <w:rFonts w:cs="Times New Roman"/>
        </w:rPr>
        <w:t>中国（铜陵）凤丹文化旅游</w:t>
      </w:r>
      <w:bookmarkEnd w:id="8"/>
      <w:r>
        <w:rPr>
          <w:rFonts w:hint="eastAsia" w:cs="Times New Roman"/>
        </w:rPr>
        <w:t>月</w:t>
      </w:r>
      <w:r>
        <w:rPr>
          <w:rFonts w:cs="Times New Roman"/>
        </w:rPr>
        <w:t>、中国（南陵）</w:t>
      </w:r>
      <w:r>
        <w:rPr>
          <w:rFonts w:hint="eastAsia" w:cs="Times New Roman"/>
        </w:rPr>
        <w:t>江南</w:t>
      </w:r>
      <w:r>
        <w:rPr>
          <w:rFonts w:cs="Times New Roman"/>
        </w:rPr>
        <w:t>牡丹文化旅游节</w:t>
      </w:r>
      <w:r>
        <w:rPr>
          <w:rFonts w:hint="eastAsia" w:cs="Times New Roman"/>
        </w:rPr>
        <w:t>、成都（彭州）天彭牡丹花会</w:t>
      </w:r>
      <w:r>
        <w:rPr>
          <w:rFonts w:cs="Times New Roman"/>
        </w:rPr>
        <w:t>等以牡丹为</w:t>
      </w:r>
      <w:r>
        <w:rPr>
          <w:rFonts w:hint="eastAsia" w:cs="Times New Roman"/>
        </w:rPr>
        <w:t>主题</w:t>
      </w:r>
      <w:r>
        <w:rPr>
          <w:rFonts w:cs="Times New Roman"/>
        </w:rPr>
        <w:t>的文旅节会遍地开花、日益隆重，牡丹主题书画、传统技艺、文创产品、实景演艺等产品服务不断推陈出新，牡丹文旅价值进一步放大，成为各地牡丹产业发展中最重要的一环。</w:t>
      </w:r>
    </w:p>
    <w:p w14:paraId="7741C55F">
      <w:pPr>
        <w:pStyle w:val="4"/>
        <w:rPr>
          <w:rFonts w:cs="Times New Roman"/>
        </w:rPr>
      </w:pPr>
      <w:bookmarkStart w:id="9" w:name="_Toc180020959"/>
      <w:bookmarkStart w:id="10" w:name="_Toc180074409"/>
      <w:r>
        <w:rPr>
          <w:rFonts w:cs="Times New Roman"/>
        </w:rPr>
        <w:t>4、科技水平不断提升</w:t>
      </w:r>
      <w:bookmarkEnd w:id="9"/>
      <w:bookmarkEnd w:id="10"/>
    </w:p>
    <w:p w14:paraId="03DF8112">
      <w:pPr>
        <w:pStyle w:val="5"/>
        <w:spacing w:before="217" w:after="217"/>
        <w:ind w:firstLine="640"/>
        <w:rPr>
          <w:rFonts w:cs="Times New Roman"/>
        </w:rPr>
      </w:pPr>
      <w:r>
        <w:rPr>
          <w:rFonts w:cs="Times New Roman"/>
        </w:rPr>
        <w:t>近年来，随着科学技术的不断发展，牡丹产业技术创新不断深入推进，取得了一</w:t>
      </w:r>
      <w:r>
        <w:rPr>
          <w:rFonts w:hint="eastAsia" w:cs="Times New Roman"/>
        </w:rPr>
        <w:t>系</w:t>
      </w:r>
      <w:r>
        <w:rPr>
          <w:rFonts w:cs="Times New Roman"/>
        </w:rPr>
        <w:t>列丰硕成果。中国野生牡丹栽培品种的调查及分类登记、牡丹种质资源研究等成效显著，已收集保存世界范围牡丹品种1000余个，建成牡丹基因库4个。牡丹鲜切花技术、牡丹南北方冬季催花技术、牡丹四季开花技术、牡丹嫁接速繁技术、超临界牡丹鲜花精油萃取技术、牡丹红斑病防治技术、牡丹籽油中α-亚麻酸分离与纯化技术等实现了突破，“彩色油用牡丹” “牡丹双平法快速株繁”等填补了国内空白，“油用牡丹产业关键技术体系集成与应用”“油用牡丹关键技术创新与应用”“‘光伏+油用牡丹’创新模式研发与应用”等研究成果国际领先。</w:t>
      </w:r>
    </w:p>
    <w:p w14:paraId="04D83FA4">
      <w:pPr>
        <w:pStyle w:val="3"/>
        <w:spacing w:before="217" w:after="217"/>
        <w:ind w:firstLine="643"/>
        <w:rPr>
          <w:rFonts w:cs="Times New Roman"/>
          <w:b/>
          <w:bCs w:val="0"/>
        </w:rPr>
      </w:pPr>
      <w:bookmarkStart w:id="11" w:name="_Toc180074410"/>
      <w:r>
        <w:rPr>
          <w:rFonts w:cs="Times New Roman"/>
          <w:b/>
          <w:bCs w:val="0"/>
        </w:rPr>
        <w:t>二、铜陵凤丹产业发展现状</w:t>
      </w:r>
      <w:bookmarkEnd w:id="11"/>
    </w:p>
    <w:p w14:paraId="5B0E0D0A">
      <w:pPr>
        <w:spacing w:before="217" w:after="217"/>
        <w:ind w:firstLine="640"/>
      </w:pPr>
      <w:r>
        <w:rPr>
          <w:rFonts w:hint="eastAsia"/>
        </w:rPr>
        <w:t>凤丹，又名铜陵牡丹、铜陵凤丹，属江南品种群，是由野生原种杨山牡丹（拉丁学名</w:t>
      </w:r>
      <w:r>
        <w:t>Paeonia ostii T. Hong et J. X. Zhang</w:t>
      </w:r>
      <w:r>
        <w:rPr>
          <w:rFonts w:hint="eastAsia"/>
        </w:rPr>
        <w:t>）长期栽培演化形成的兼具药用、食用、观赏价值的牡丹品种。凤丹皮是34种常用的中药材之一，具有清热凉血、活血散瘀之功效，凤丹籽油不饱和脂肪酸含量90%以上，其中不饱和脂肪酸——亚麻酸含量超过40%，比橄榄油含量多40倍，凤丹以其卓越的药用、食用价值和清雅的花色，在牡丹种群中独树一帜，成为目前全世界栽培面积最大的集药用、食用、观赏于一体的牡丹品种。</w:t>
      </w:r>
    </w:p>
    <w:p w14:paraId="770E336B">
      <w:pPr>
        <w:pStyle w:val="4"/>
        <w:rPr>
          <w:rFonts w:cs="Times New Roman"/>
        </w:rPr>
      </w:pPr>
      <w:bookmarkStart w:id="12" w:name="_Toc180074411"/>
      <w:bookmarkStart w:id="13" w:name="_Toc173425511"/>
      <w:bookmarkStart w:id="14" w:name="_Toc180020961"/>
      <w:r>
        <w:rPr>
          <w:rFonts w:cs="Times New Roman"/>
        </w:rPr>
        <w:t>1、凤丹种植历史悠久，品种资源独特</w:t>
      </w:r>
      <w:bookmarkEnd w:id="12"/>
      <w:bookmarkEnd w:id="13"/>
      <w:bookmarkEnd w:id="14"/>
    </w:p>
    <w:p w14:paraId="76D77C97">
      <w:pPr>
        <w:pStyle w:val="5"/>
        <w:spacing w:before="217" w:after="0" w:afterLines="0"/>
        <w:ind w:firstLine="640"/>
        <w:rPr>
          <w:rFonts w:cs="Times New Roman"/>
        </w:rPr>
      </w:pPr>
      <w:r>
        <w:rPr>
          <w:rFonts w:cs="Times New Roman"/>
        </w:rPr>
        <w:t>凤丹为“十大皖药”之一，与白芍、菊花、茯苓并称为安徽“四大名药”。铜陵凤丹种植历史可以追溯到东晋时期，距今已有1700 多年历史，清末明初凤丹发展达到鼎盛。据统计，1924-1926年铜陵药用牡丹种植面积达到6000亩，凤丹年产量700吨左右，抗日战争和解放战争时期凤丹不断衰落，直到新中国成立之后，凤丹种植面积迅速回升，1958-1975年间铜陵为全国10余个省500余个市县提供凤丹种苗，1966-2000年铜陵凤丹累计出口达6428.54吨，远销东南亚、日本、欧美诸国，铜陵创新的牡丹嫁接方式有力的推动了全国牡丹产业的发展。全市拥有凤丹名木及大量多年凤丹植株，据安徽省林业局登记在册的古树名木数据，义安区天门镇五峰村拥有一株1000年树龄的牡丹名木，位列国内千年牡丹前三，枞阳县枞阳镇长安段庄拥有一株360年树龄的牡丹名木，铜陵市凤丹林草种质资源库范围内有30年以上生凤丹1株，10-15年生凤丹约20亩（46000株），7-8年生凤丹约15亩（35000株）。</w:t>
      </w:r>
      <w:r>
        <w:rPr>
          <w:rFonts w:hint="eastAsia" w:cs="Times New Roman"/>
        </w:rPr>
        <w:t>目前，全市</w:t>
      </w:r>
      <w:r>
        <w:rPr>
          <w:rFonts w:cs="Times New Roman"/>
        </w:rPr>
        <w:t>栽植牡丹品种超200种</w:t>
      </w:r>
      <w:r>
        <w:rPr>
          <w:rFonts w:hint="eastAsia" w:cs="Times New Roman"/>
        </w:rPr>
        <w:t>，其中</w:t>
      </w:r>
      <w:r>
        <w:rPr>
          <w:rFonts w:cs="Times New Roman"/>
        </w:rPr>
        <w:t>凤丹白、凤丹粉、凤丹紫、凤丹玉、凤丹星、凤丹绫、凤丹韵、凤紫荷等凤丹主要栽培品种在铜陵市范围内均有栽植。</w:t>
      </w:r>
    </w:p>
    <w:p w14:paraId="43D39C46">
      <w:pPr>
        <w:pStyle w:val="5"/>
        <w:spacing w:before="0" w:beforeLines="0" w:after="0" w:afterLines="0"/>
        <w:ind w:firstLine="0" w:firstLineChars="0"/>
        <w:jc w:val="center"/>
        <w:rPr>
          <w:rFonts w:cs="Times New Roman"/>
          <w:b/>
          <w:bCs/>
          <w:sz w:val="28"/>
          <w:szCs w:val="28"/>
        </w:rPr>
      </w:pPr>
      <w:r>
        <w:rPr>
          <w:rFonts w:cs="Times New Roman"/>
          <w:b/>
          <w:bCs/>
          <w:sz w:val="28"/>
          <w:szCs w:val="28"/>
        </w:rPr>
        <w:t>表1-1 铜陵市部分牡丹品种统计</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3"/>
        <w:gridCol w:w="1383"/>
        <w:gridCol w:w="1383"/>
      </w:tblGrid>
      <w:tr w14:paraId="7895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2" w:type="dxa"/>
          </w:tcPr>
          <w:p w14:paraId="281F072B">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1382" w:type="dxa"/>
          </w:tcPr>
          <w:p w14:paraId="4962B903">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牡丹品种</w:t>
            </w:r>
          </w:p>
        </w:tc>
        <w:tc>
          <w:tcPr>
            <w:tcW w:w="1383" w:type="dxa"/>
            <w:tcBorders>
              <w:right w:val="single" w:color="auto" w:sz="12" w:space="0"/>
            </w:tcBorders>
          </w:tcPr>
          <w:p w14:paraId="6B60915D">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属地</w:t>
            </w:r>
          </w:p>
        </w:tc>
        <w:tc>
          <w:tcPr>
            <w:tcW w:w="1383" w:type="dxa"/>
            <w:tcBorders>
              <w:left w:val="single" w:color="auto" w:sz="12" w:space="0"/>
            </w:tcBorders>
          </w:tcPr>
          <w:p w14:paraId="72B57E7D">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1383" w:type="dxa"/>
          </w:tcPr>
          <w:p w14:paraId="37C27C38">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牡丹品种</w:t>
            </w:r>
          </w:p>
        </w:tc>
        <w:tc>
          <w:tcPr>
            <w:tcW w:w="1383" w:type="dxa"/>
          </w:tcPr>
          <w:p w14:paraId="3B243F18">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属地</w:t>
            </w:r>
          </w:p>
        </w:tc>
      </w:tr>
      <w:tr w14:paraId="5AC3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137346F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382" w:type="dxa"/>
          </w:tcPr>
          <w:p w14:paraId="4876089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凤丹白</w:t>
            </w:r>
          </w:p>
        </w:tc>
        <w:tc>
          <w:tcPr>
            <w:tcW w:w="1383" w:type="dxa"/>
            <w:tcBorders>
              <w:right w:val="single" w:color="auto" w:sz="12" w:space="0"/>
            </w:tcBorders>
          </w:tcPr>
          <w:p w14:paraId="7334255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3288E24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11</w:t>
            </w:r>
          </w:p>
        </w:tc>
        <w:tc>
          <w:tcPr>
            <w:tcW w:w="1383" w:type="dxa"/>
          </w:tcPr>
          <w:p w14:paraId="485CB04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粉莲</w:t>
            </w:r>
          </w:p>
        </w:tc>
        <w:tc>
          <w:tcPr>
            <w:tcW w:w="1383" w:type="dxa"/>
          </w:tcPr>
          <w:p w14:paraId="26E282E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48465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28764FA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1382" w:type="dxa"/>
          </w:tcPr>
          <w:p w14:paraId="5DD9647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凤丹粉</w:t>
            </w:r>
          </w:p>
        </w:tc>
        <w:tc>
          <w:tcPr>
            <w:tcW w:w="1383" w:type="dxa"/>
            <w:tcBorders>
              <w:right w:val="single" w:color="auto" w:sz="12" w:space="0"/>
            </w:tcBorders>
          </w:tcPr>
          <w:p w14:paraId="77F13EE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7D069A1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12</w:t>
            </w:r>
          </w:p>
        </w:tc>
        <w:tc>
          <w:tcPr>
            <w:tcW w:w="1383" w:type="dxa"/>
          </w:tcPr>
          <w:p w14:paraId="0152B93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羽红</w:t>
            </w:r>
          </w:p>
        </w:tc>
        <w:tc>
          <w:tcPr>
            <w:tcW w:w="1383" w:type="dxa"/>
          </w:tcPr>
          <w:p w14:paraId="5D98C18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436BA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4E5664E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1382" w:type="dxa"/>
          </w:tcPr>
          <w:p w14:paraId="6368B3D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凤丹紫</w:t>
            </w:r>
          </w:p>
        </w:tc>
        <w:tc>
          <w:tcPr>
            <w:tcW w:w="1383" w:type="dxa"/>
            <w:tcBorders>
              <w:right w:val="single" w:color="auto" w:sz="12" w:space="0"/>
            </w:tcBorders>
          </w:tcPr>
          <w:p w14:paraId="42C7864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7B786AA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13</w:t>
            </w:r>
          </w:p>
        </w:tc>
        <w:tc>
          <w:tcPr>
            <w:tcW w:w="1383" w:type="dxa"/>
          </w:tcPr>
          <w:p w14:paraId="55A150D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凤尾</w:t>
            </w:r>
          </w:p>
        </w:tc>
        <w:tc>
          <w:tcPr>
            <w:tcW w:w="1383" w:type="dxa"/>
          </w:tcPr>
          <w:p w14:paraId="28A7AB8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5B58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13AB4D2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1382" w:type="dxa"/>
          </w:tcPr>
          <w:p w14:paraId="2DBB299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凤丹玉</w:t>
            </w:r>
          </w:p>
        </w:tc>
        <w:tc>
          <w:tcPr>
            <w:tcW w:w="1383" w:type="dxa"/>
            <w:tcBorders>
              <w:right w:val="single" w:color="auto" w:sz="12" w:space="0"/>
            </w:tcBorders>
          </w:tcPr>
          <w:p w14:paraId="0037FCC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7EE7F24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14</w:t>
            </w:r>
          </w:p>
        </w:tc>
        <w:tc>
          <w:tcPr>
            <w:tcW w:w="1383" w:type="dxa"/>
          </w:tcPr>
          <w:p w14:paraId="2346147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西施</w:t>
            </w:r>
          </w:p>
        </w:tc>
        <w:tc>
          <w:tcPr>
            <w:tcW w:w="1383" w:type="dxa"/>
          </w:tcPr>
          <w:p w14:paraId="528BE18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5ACA1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603BE59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1382" w:type="dxa"/>
          </w:tcPr>
          <w:p w14:paraId="74E3BB8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凤丹星</w:t>
            </w:r>
          </w:p>
        </w:tc>
        <w:tc>
          <w:tcPr>
            <w:tcW w:w="1383" w:type="dxa"/>
            <w:tcBorders>
              <w:right w:val="single" w:color="auto" w:sz="12" w:space="0"/>
            </w:tcBorders>
          </w:tcPr>
          <w:p w14:paraId="5F9D220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2A300CA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15</w:t>
            </w:r>
          </w:p>
        </w:tc>
        <w:tc>
          <w:tcPr>
            <w:tcW w:w="1383" w:type="dxa"/>
          </w:tcPr>
          <w:p w14:paraId="1061A0B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荷玉楼</w:t>
            </w:r>
          </w:p>
        </w:tc>
        <w:tc>
          <w:tcPr>
            <w:tcW w:w="1383" w:type="dxa"/>
          </w:tcPr>
          <w:p w14:paraId="0C6005C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39177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15C4A49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6</w:t>
            </w:r>
          </w:p>
        </w:tc>
        <w:tc>
          <w:tcPr>
            <w:tcW w:w="1382" w:type="dxa"/>
          </w:tcPr>
          <w:p w14:paraId="33EAFAB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凤丹绫</w:t>
            </w:r>
          </w:p>
        </w:tc>
        <w:tc>
          <w:tcPr>
            <w:tcW w:w="1383" w:type="dxa"/>
            <w:tcBorders>
              <w:right w:val="single" w:color="auto" w:sz="12" w:space="0"/>
            </w:tcBorders>
          </w:tcPr>
          <w:p w14:paraId="58A016D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109A0FD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16</w:t>
            </w:r>
          </w:p>
        </w:tc>
        <w:tc>
          <w:tcPr>
            <w:tcW w:w="1383" w:type="dxa"/>
          </w:tcPr>
          <w:p w14:paraId="015DEEF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御苑红</w:t>
            </w:r>
          </w:p>
        </w:tc>
        <w:tc>
          <w:tcPr>
            <w:tcW w:w="1383" w:type="dxa"/>
          </w:tcPr>
          <w:p w14:paraId="0BA44C8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01F6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558DB9E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7</w:t>
            </w:r>
          </w:p>
        </w:tc>
        <w:tc>
          <w:tcPr>
            <w:tcW w:w="1382" w:type="dxa"/>
          </w:tcPr>
          <w:p w14:paraId="392131A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凤丹韵</w:t>
            </w:r>
          </w:p>
        </w:tc>
        <w:tc>
          <w:tcPr>
            <w:tcW w:w="1383" w:type="dxa"/>
            <w:tcBorders>
              <w:right w:val="single" w:color="auto" w:sz="12" w:space="0"/>
            </w:tcBorders>
          </w:tcPr>
          <w:p w14:paraId="497A94A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7EA4D0D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17</w:t>
            </w:r>
          </w:p>
        </w:tc>
        <w:tc>
          <w:tcPr>
            <w:tcW w:w="1383" w:type="dxa"/>
          </w:tcPr>
          <w:p w14:paraId="13EC6E3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凤白荷</w:t>
            </w:r>
          </w:p>
        </w:tc>
        <w:tc>
          <w:tcPr>
            <w:tcW w:w="1383" w:type="dxa"/>
          </w:tcPr>
          <w:p w14:paraId="704E2BE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2129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755DB34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8</w:t>
            </w:r>
          </w:p>
        </w:tc>
        <w:tc>
          <w:tcPr>
            <w:tcW w:w="1382" w:type="dxa"/>
          </w:tcPr>
          <w:p w14:paraId="26B4B6D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‌昌红</w:t>
            </w:r>
          </w:p>
        </w:tc>
        <w:tc>
          <w:tcPr>
            <w:tcW w:w="1383" w:type="dxa"/>
            <w:tcBorders>
              <w:right w:val="single" w:color="auto" w:sz="12" w:space="0"/>
            </w:tcBorders>
          </w:tcPr>
          <w:p w14:paraId="7DD8330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本地品种</w:t>
            </w:r>
          </w:p>
        </w:tc>
        <w:tc>
          <w:tcPr>
            <w:tcW w:w="1383" w:type="dxa"/>
            <w:tcBorders>
              <w:left w:val="single" w:color="auto" w:sz="12" w:space="0"/>
            </w:tcBorders>
          </w:tcPr>
          <w:p w14:paraId="6A2B296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18</w:t>
            </w:r>
          </w:p>
        </w:tc>
        <w:tc>
          <w:tcPr>
            <w:tcW w:w="1383" w:type="dxa"/>
          </w:tcPr>
          <w:p w14:paraId="14DF35C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凤粉</w:t>
            </w:r>
          </w:p>
        </w:tc>
        <w:tc>
          <w:tcPr>
            <w:tcW w:w="1383" w:type="dxa"/>
          </w:tcPr>
          <w:p w14:paraId="521F987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604D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6298D28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9</w:t>
            </w:r>
          </w:p>
        </w:tc>
        <w:tc>
          <w:tcPr>
            <w:tcW w:w="1382" w:type="dxa"/>
          </w:tcPr>
          <w:p w14:paraId="1BD0ECF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云芳</w:t>
            </w:r>
          </w:p>
        </w:tc>
        <w:tc>
          <w:tcPr>
            <w:tcW w:w="1383" w:type="dxa"/>
            <w:tcBorders>
              <w:right w:val="single" w:color="auto" w:sz="12" w:space="0"/>
            </w:tcBorders>
          </w:tcPr>
          <w:p w14:paraId="39209A5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c>
          <w:tcPr>
            <w:tcW w:w="1383" w:type="dxa"/>
            <w:tcBorders>
              <w:left w:val="single" w:color="auto" w:sz="12" w:space="0"/>
            </w:tcBorders>
          </w:tcPr>
          <w:p w14:paraId="32CE2C8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19</w:t>
            </w:r>
          </w:p>
        </w:tc>
        <w:tc>
          <w:tcPr>
            <w:tcW w:w="1383" w:type="dxa"/>
          </w:tcPr>
          <w:p w14:paraId="2A8E71D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粉紫荷</w:t>
            </w:r>
          </w:p>
        </w:tc>
        <w:tc>
          <w:tcPr>
            <w:tcW w:w="1383" w:type="dxa"/>
          </w:tcPr>
          <w:p w14:paraId="35B0F25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r>
      <w:tr w14:paraId="3D6D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14:paraId="1892018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10</w:t>
            </w:r>
          </w:p>
        </w:tc>
        <w:tc>
          <w:tcPr>
            <w:tcW w:w="1382" w:type="dxa"/>
          </w:tcPr>
          <w:p w14:paraId="3451F8D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徽紫</w:t>
            </w:r>
          </w:p>
        </w:tc>
        <w:tc>
          <w:tcPr>
            <w:tcW w:w="1383" w:type="dxa"/>
            <w:tcBorders>
              <w:right w:val="single" w:color="auto" w:sz="12" w:space="0"/>
            </w:tcBorders>
          </w:tcPr>
          <w:p w14:paraId="47C3B3D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外地品种</w:t>
            </w:r>
          </w:p>
        </w:tc>
        <w:tc>
          <w:tcPr>
            <w:tcW w:w="1383" w:type="dxa"/>
            <w:tcBorders>
              <w:left w:val="single" w:color="auto" w:sz="12" w:space="0"/>
            </w:tcBorders>
          </w:tcPr>
          <w:p w14:paraId="39D7C667">
            <w:pPr>
              <w:pStyle w:val="5"/>
              <w:adjustRightInd w:val="0"/>
              <w:snapToGrid w:val="0"/>
              <w:spacing w:before="0" w:beforeLines="0" w:after="0" w:afterLines="0" w:line="240" w:lineRule="auto"/>
              <w:ind w:firstLine="0" w:firstLineChars="0"/>
              <w:jc w:val="center"/>
              <w:rPr>
                <w:rFonts w:cs="Times New Roman"/>
                <w:sz w:val="21"/>
                <w:szCs w:val="21"/>
              </w:rPr>
            </w:pPr>
          </w:p>
        </w:tc>
        <w:tc>
          <w:tcPr>
            <w:tcW w:w="1383" w:type="dxa"/>
          </w:tcPr>
          <w:p w14:paraId="25E34233">
            <w:pPr>
              <w:pStyle w:val="5"/>
              <w:adjustRightInd w:val="0"/>
              <w:snapToGrid w:val="0"/>
              <w:spacing w:before="0" w:beforeLines="0" w:after="0" w:afterLines="0" w:line="240" w:lineRule="auto"/>
              <w:ind w:firstLine="0" w:firstLineChars="0"/>
              <w:jc w:val="center"/>
              <w:rPr>
                <w:rFonts w:cs="Times New Roman"/>
                <w:sz w:val="21"/>
                <w:szCs w:val="21"/>
              </w:rPr>
            </w:pPr>
          </w:p>
        </w:tc>
        <w:tc>
          <w:tcPr>
            <w:tcW w:w="1383" w:type="dxa"/>
          </w:tcPr>
          <w:p w14:paraId="1A6F5DC5">
            <w:pPr>
              <w:pStyle w:val="5"/>
              <w:adjustRightInd w:val="0"/>
              <w:snapToGrid w:val="0"/>
              <w:spacing w:before="0" w:beforeLines="0" w:after="0" w:afterLines="0" w:line="240" w:lineRule="auto"/>
              <w:ind w:firstLine="0" w:firstLineChars="0"/>
              <w:jc w:val="center"/>
              <w:rPr>
                <w:rFonts w:cs="Times New Roman"/>
                <w:sz w:val="21"/>
                <w:szCs w:val="21"/>
              </w:rPr>
            </w:pPr>
          </w:p>
        </w:tc>
      </w:tr>
    </w:tbl>
    <w:p w14:paraId="1BB49D7F">
      <w:pPr>
        <w:pStyle w:val="4"/>
        <w:rPr>
          <w:rFonts w:cs="Times New Roman"/>
        </w:rPr>
      </w:pPr>
      <w:bookmarkStart w:id="15" w:name="_Toc180020962"/>
      <w:bookmarkStart w:id="16" w:name="_Toc180074412"/>
      <w:bookmarkStart w:id="17" w:name="_Toc173425512"/>
      <w:r>
        <w:rPr>
          <w:rFonts w:cs="Times New Roman"/>
        </w:rPr>
        <w:t>2、铜陵凤丹品牌响亮，丹皮质量上乘</w:t>
      </w:r>
      <w:bookmarkEnd w:id="15"/>
      <w:bookmarkEnd w:id="16"/>
      <w:bookmarkEnd w:id="17"/>
    </w:p>
    <w:p w14:paraId="7B0ACD73">
      <w:pPr>
        <w:pStyle w:val="5"/>
        <w:spacing w:before="217" w:after="217"/>
        <w:ind w:firstLine="640"/>
        <w:rPr>
          <w:rFonts w:cs="Times New Roman"/>
        </w:rPr>
      </w:pPr>
      <w:r>
        <w:rPr>
          <w:rFonts w:cs="Times New Roman"/>
        </w:rPr>
        <w:t>铜陵是凤丹原种的发祥地和中国南方牡丹的传统产区，改革开放以来，铜陵凤丹加速恢复发展，凤丹知名度持续上升，1989年，铜陵牡丹（凤丹）被市民选定为市花；1992年，铜陵被原国家农业部确定为中国南方牡丹商品生产基地；2000年，凤凰山村被国家林业局和中国花卉协会命名为“中国药用牡丹之乡”；2006年，“铜陵凤丹”成功获批国家地理标志保护产品（铜陵首个）；2011年，中科院将铜陵确定为中国南方牡丹科研基地，凤凰山村荣获国家“一村一品”示范村称号；2013年，“铜陵凤丹皮”获批国家地理标志证明商标（铜陵第二个）；2014年，“铜陵凤丹制作技艺”成功入选省级非物质文化遗产名录；2023年，“铜陵义安凤丹栽培系统”成功入选中国重要农业文化遗产名单</w:t>
      </w:r>
      <w:r>
        <w:rPr>
          <w:rFonts w:hint="eastAsia" w:cs="Times New Roman"/>
          <w:lang w:eastAsia="zh-CN"/>
        </w:rPr>
        <w:t>，</w:t>
      </w:r>
      <w:r>
        <w:rPr>
          <w:rFonts w:hint="eastAsia" w:cs="Times New Roman"/>
          <w:lang w:val="en-US" w:eastAsia="zh-CN"/>
        </w:rPr>
        <w:t>对安徽省地方标准《地理标志产品 凤丹》进行了修订</w:t>
      </w:r>
      <w:r>
        <w:rPr>
          <w:rFonts w:cs="Times New Roman"/>
        </w:rPr>
        <w:t>。铜陵凤丹皮外形好看，无需去除外皮，抽取木质心后不会有缝隙，有良好收缩能力，煎煮时不烂不化，煎煮后仍然成形，且丹皮酚含量显著高于菏泽牡丹、洛阳牡丹、垫江牡丹，凤丹皮药效被历代医药实践证明最佳，</w:t>
      </w:r>
      <w:r>
        <w:rPr>
          <w:rFonts w:hint="eastAsia" w:cs="Times New Roman"/>
        </w:rPr>
        <w:t>1977年上海人民出版社出版的</w:t>
      </w:r>
      <w:r>
        <w:rPr>
          <w:rFonts w:cs="Times New Roman"/>
        </w:rPr>
        <w:t>《中药大辞典》记载：“安徽省铜陵凤凰山所产丹皮质量最佳”。</w:t>
      </w:r>
    </w:p>
    <w:p w14:paraId="6878BD72">
      <w:pPr>
        <w:pStyle w:val="5"/>
        <w:spacing w:before="0" w:beforeLines="0" w:after="0" w:afterLines="0" w:line="240" w:lineRule="auto"/>
        <w:ind w:firstLine="0" w:firstLineChars="0"/>
        <w:jc w:val="center"/>
        <w:rPr>
          <w:rFonts w:cs="Times New Roman"/>
        </w:rPr>
      </w:pPr>
      <w:r>
        <w:rPr>
          <w:rFonts w:cs="Times New Roman"/>
        </w:rPr>
        <w:drawing>
          <wp:inline distT="0" distB="0" distL="0" distR="0">
            <wp:extent cx="3271520" cy="2453005"/>
            <wp:effectExtent l="0" t="0" r="5080" b="444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452650" cy="2589269"/>
                    </a:xfrm>
                    <a:prstGeom prst="rect">
                      <a:avLst/>
                    </a:prstGeom>
                    <a:noFill/>
                    <a:ln w="12700">
                      <a:noFill/>
                    </a:ln>
                  </pic:spPr>
                </pic:pic>
              </a:graphicData>
            </a:graphic>
          </wp:inline>
        </w:drawing>
      </w:r>
    </w:p>
    <w:p w14:paraId="7B08A43D">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图1-1 “凤丹”地理标志保护产品</w:t>
      </w:r>
    </w:p>
    <w:p w14:paraId="1591B299">
      <w:pPr>
        <w:pStyle w:val="4"/>
        <w:rPr>
          <w:rFonts w:cs="Times New Roman"/>
        </w:rPr>
      </w:pPr>
      <w:bookmarkStart w:id="18" w:name="_Toc173425513"/>
      <w:bookmarkStart w:id="19" w:name="_Toc180020963"/>
      <w:bookmarkStart w:id="20" w:name="_Toc180074413"/>
      <w:r>
        <w:rPr>
          <w:rFonts w:cs="Times New Roman"/>
        </w:rPr>
        <w:t>3、产业链条不断完善，产品种类丰富</w:t>
      </w:r>
      <w:bookmarkEnd w:id="18"/>
      <w:bookmarkEnd w:id="19"/>
      <w:bookmarkEnd w:id="20"/>
    </w:p>
    <w:p w14:paraId="117D4391">
      <w:pPr>
        <w:spacing w:before="217" w:after="217"/>
        <w:ind w:firstLine="640"/>
        <w:rPr>
          <w:rFonts w:cs="Times New Roman"/>
        </w:rPr>
      </w:pPr>
      <w:r>
        <w:rPr>
          <w:rFonts w:cs="Times New Roman"/>
        </w:rPr>
        <w:t>近年来，铜陵市立足中国凤丹原产地优势，不断挖掘凤丹独特的药用和</w:t>
      </w:r>
      <w:r>
        <w:rPr>
          <w:rFonts w:hint="eastAsia" w:cs="Times New Roman"/>
        </w:rPr>
        <w:t>食用</w:t>
      </w:r>
      <w:r>
        <w:rPr>
          <w:rFonts w:cs="Times New Roman"/>
        </w:rPr>
        <w:t>价值，以“农”为基，以“产”致富，不断扩大凤丹种植面积，加快凤丹花蕊茶、凤丹籽油等精深加工产品开发，凤丹产业加快复苏发展，初步形成了以药用、</w:t>
      </w:r>
      <w:r>
        <w:rPr>
          <w:rFonts w:hint="eastAsia" w:cs="Times New Roman"/>
        </w:rPr>
        <w:t>食用</w:t>
      </w:r>
      <w:r>
        <w:rPr>
          <w:rFonts w:cs="Times New Roman"/>
        </w:rPr>
        <w:t>、保健、日化、观赏等全链条发展格局。目前全市凤丹种植基地面积近2万亩，凤丹种植面积超5000亩，丹皮产量2000余吨，全产业链产值3.5亿元，拥有凤丹精深加工产品3个系列30余个品种，包括牡丹籽油、‌牡丹花茶、凤丹花蕊茶、‌面膜、牙膏等，其中省级名牌产品1个、省级著名商标2个。铜陵凤丹“三品一标”4个，其中国家地理标志产品1个、有机产品3个。“荣京”牌牡丹籽油、牡丹花茶系列产品入选2018年中国特色旅游商品产品名单，荣获2019年安徽名优农产品交易会“金奖”和2019—2021年中国国际粮油展示交易会“金奖”，入选2021安徽特色伴手礼及2021长三角特色伴手礼产品等。</w:t>
      </w:r>
    </w:p>
    <w:p w14:paraId="0D95DD0F">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表1-2 铜陵市凤丹产品品牌统计汇总</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3059"/>
        <w:gridCol w:w="3787"/>
        <w:gridCol w:w="953"/>
      </w:tblGrid>
      <w:tr w14:paraId="0CBB7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 w:type="pct"/>
            <w:vAlign w:val="center"/>
          </w:tcPr>
          <w:p w14:paraId="494E3196">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1795" w:type="pct"/>
            <w:vAlign w:val="center"/>
          </w:tcPr>
          <w:p w14:paraId="57D1169E">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名称</w:t>
            </w:r>
          </w:p>
        </w:tc>
        <w:tc>
          <w:tcPr>
            <w:tcW w:w="2222" w:type="pct"/>
            <w:vAlign w:val="center"/>
          </w:tcPr>
          <w:p w14:paraId="0B5D7E0C">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依托主体</w:t>
            </w:r>
          </w:p>
        </w:tc>
        <w:tc>
          <w:tcPr>
            <w:tcW w:w="559" w:type="pct"/>
            <w:vAlign w:val="center"/>
          </w:tcPr>
          <w:p w14:paraId="1CB95340">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备注</w:t>
            </w:r>
          </w:p>
        </w:tc>
      </w:tr>
      <w:tr w14:paraId="0A18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0FC16A54">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有机产品（3个）</w:t>
            </w:r>
          </w:p>
        </w:tc>
      </w:tr>
      <w:tr w14:paraId="7A20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76E6037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795" w:type="pct"/>
            <w:vAlign w:val="center"/>
          </w:tcPr>
          <w:p w14:paraId="711F8C5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牡丹</w:t>
            </w:r>
            <w:r>
              <w:rPr>
                <w:rFonts w:cs="Times New Roman"/>
                <w:sz w:val="16"/>
                <w:szCs w:val="16"/>
              </w:rPr>
              <w:t>（牡丹花、牡丹籽、丹皮）</w:t>
            </w:r>
          </w:p>
        </w:tc>
        <w:tc>
          <w:tcPr>
            <w:tcW w:w="2222" w:type="pct"/>
            <w:vAlign w:val="center"/>
          </w:tcPr>
          <w:p w14:paraId="625915D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铜陵凤丹种植科技开发有限责任公司</w:t>
            </w:r>
          </w:p>
        </w:tc>
        <w:tc>
          <w:tcPr>
            <w:tcW w:w="559" w:type="pct"/>
            <w:vAlign w:val="center"/>
          </w:tcPr>
          <w:p w14:paraId="0EA8BB25">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2022年</w:t>
            </w:r>
          </w:p>
        </w:tc>
      </w:tr>
      <w:tr w14:paraId="6E6D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4101315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1795" w:type="pct"/>
            <w:vAlign w:val="center"/>
          </w:tcPr>
          <w:p w14:paraId="65CF755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食用植物油</w:t>
            </w:r>
          </w:p>
        </w:tc>
        <w:tc>
          <w:tcPr>
            <w:tcW w:w="2222" w:type="pct"/>
            <w:vAlign w:val="center"/>
          </w:tcPr>
          <w:p w14:paraId="62D6033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铜陵凤丹种植科技开发有限责任公司</w:t>
            </w:r>
          </w:p>
        </w:tc>
        <w:tc>
          <w:tcPr>
            <w:tcW w:w="559" w:type="pct"/>
            <w:vAlign w:val="center"/>
          </w:tcPr>
          <w:p w14:paraId="4746490B">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2022年</w:t>
            </w:r>
          </w:p>
        </w:tc>
      </w:tr>
      <w:tr w14:paraId="1C7D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69731F7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1795" w:type="pct"/>
            <w:vAlign w:val="center"/>
          </w:tcPr>
          <w:p w14:paraId="008BDCC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代用茶产品</w:t>
            </w:r>
          </w:p>
        </w:tc>
        <w:tc>
          <w:tcPr>
            <w:tcW w:w="2222" w:type="pct"/>
            <w:vAlign w:val="center"/>
          </w:tcPr>
          <w:p w14:paraId="10A0592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铜陵凤丹种植科技开发有限责任公司</w:t>
            </w:r>
          </w:p>
        </w:tc>
        <w:tc>
          <w:tcPr>
            <w:tcW w:w="559" w:type="pct"/>
            <w:vAlign w:val="center"/>
          </w:tcPr>
          <w:p w14:paraId="72896890">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2022年</w:t>
            </w:r>
          </w:p>
        </w:tc>
      </w:tr>
      <w:tr w14:paraId="6453C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0DED5147">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地理标志农产品（1个）</w:t>
            </w:r>
          </w:p>
        </w:tc>
      </w:tr>
      <w:tr w14:paraId="29BD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7CB17BD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795" w:type="pct"/>
            <w:vAlign w:val="center"/>
          </w:tcPr>
          <w:p w14:paraId="3FE87D4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w:t>
            </w:r>
          </w:p>
        </w:tc>
        <w:tc>
          <w:tcPr>
            <w:tcW w:w="2222" w:type="pct"/>
            <w:vAlign w:val="center"/>
          </w:tcPr>
          <w:p w14:paraId="551B2A5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铜陵市义安区牡丹产业协会</w:t>
            </w:r>
          </w:p>
        </w:tc>
        <w:tc>
          <w:tcPr>
            <w:tcW w:w="559" w:type="pct"/>
            <w:vAlign w:val="center"/>
          </w:tcPr>
          <w:p w14:paraId="0E35319E">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2006年</w:t>
            </w:r>
          </w:p>
        </w:tc>
      </w:tr>
      <w:tr w14:paraId="2B4E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58E38410">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“皖美农品”区域公用品牌（1个）</w:t>
            </w:r>
          </w:p>
        </w:tc>
      </w:tr>
      <w:tr w14:paraId="3817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75DAB46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795" w:type="pct"/>
            <w:vAlign w:val="center"/>
          </w:tcPr>
          <w:p w14:paraId="6247B9B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w:t>
            </w:r>
          </w:p>
        </w:tc>
        <w:tc>
          <w:tcPr>
            <w:tcW w:w="2222" w:type="pct"/>
            <w:vAlign w:val="center"/>
          </w:tcPr>
          <w:p w14:paraId="74ABB94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w:t>
            </w:r>
          </w:p>
        </w:tc>
        <w:tc>
          <w:tcPr>
            <w:tcW w:w="559" w:type="pct"/>
            <w:vAlign w:val="center"/>
          </w:tcPr>
          <w:p w14:paraId="7AEED969">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2023年</w:t>
            </w:r>
          </w:p>
        </w:tc>
      </w:tr>
      <w:tr w14:paraId="1D20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5EC094FF">
            <w:pPr>
              <w:pStyle w:val="5"/>
              <w:adjustRightInd w:val="0"/>
              <w:snapToGrid w:val="0"/>
              <w:spacing w:before="0" w:beforeLines="0" w:after="0" w:afterLines="0" w:line="240" w:lineRule="auto"/>
              <w:ind w:firstLine="0" w:firstLineChars="0"/>
              <w:jc w:val="center"/>
              <w:rPr>
                <w:rFonts w:cs="Times New Roman"/>
                <w:b/>
                <w:bCs/>
                <w:sz w:val="21"/>
                <w:szCs w:val="21"/>
              </w:rPr>
            </w:pPr>
            <w:r>
              <w:rPr>
                <w:rFonts w:hint="eastAsia" w:cs="Times New Roman"/>
                <w:b/>
                <w:bCs/>
                <w:sz w:val="21"/>
                <w:szCs w:val="21"/>
              </w:rPr>
              <w:t>“皖美农品”企业品牌（</w:t>
            </w:r>
            <w:r>
              <w:rPr>
                <w:rFonts w:cs="Times New Roman"/>
                <w:b/>
                <w:bCs/>
                <w:sz w:val="21"/>
                <w:szCs w:val="21"/>
              </w:rPr>
              <w:t>1</w:t>
            </w:r>
            <w:r>
              <w:rPr>
                <w:rFonts w:hint="eastAsia" w:cs="Times New Roman"/>
                <w:b/>
                <w:bCs/>
                <w:sz w:val="21"/>
                <w:szCs w:val="21"/>
              </w:rPr>
              <w:t>个）</w:t>
            </w:r>
          </w:p>
        </w:tc>
      </w:tr>
      <w:tr w14:paraId="2C00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15DABD06">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1</w:t>
            </w:r>
          </w:p>
        </w:tc>
        <w:tc>
          <w:tcPr>
            <w:tcW w:w="1795" w:type="pct"/>
            <w:vAlign w:val="center"/>
          </w:tcPr>
          <w:p w14:paraId="0392498E">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荣京</w:t>
            </w:r>
          </w:p>
        </w:tc>
        <w:tc>
          <w:tcPr>
            <w:tcW w:w="2222" w:type="pct"/>
            <w:vAlign w:val="center"/>
          </w:tcPr>
          <w:p w14:paraId="1E1C6CCF">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铜陵凤丹种植科技开发有限责任公司</w:t>
            </w:r>
          </w:p>
        </w:tc>
        <w:tc>
          <w:tcPr>
            <w:tcW w:w="559" w:type="pct"/>
            <w:vAlign w:val="center"/>
          </w:tcPr>
          <w:p w14:paraId="4386F8B9">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2024年</w:t>
            </w:r>
          </w:p>
        </w:tc>
      </w:tr>
      <w:tr w14:paraId="73B2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232F96A4">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b/>
                <w:bCs/>
                <w:sz w:val="21"/>
                <w:szCs w:val="21"/>
              </w:rPr>
              <w:t>“皖美农品”产品品牌（1个）</w:t>
            </w:r>
          </w:p>
        </w:tc>
      </w:tr>
      <w:tr w14:paraId="689E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139C825B">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1</w:t>
            </w:r>
          </w:p>
        </w:tc>
        <w:tc>
          <w:tcPr>
            <w:tcW w:w="1795" w:type="pct"/>
            <w:vAlign w:val="center"/>
          </w:tcPr>
          <w:p w14:paraId="76419361">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“荣京”牌牡丹籽油</w:t>
            </w:r>
          </w:p>
        </w:tc>
        <w:tc>
          <w:tcPr>
            <w:tcW w:w="2222" w:type="pct"/>
            <w:vAlign w:val="center"/>
          </w:tcPr>
          <w:p w14:paraId="4CBFE487">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铜陵凤丹种植科技开发有限责任公司</w:t>
            </w:r>
          </w:p>
        </w:tc>
        <w:tc>
          <w:tcPr>
            <w:tcW w:w="559" w:type="pct"/>
            <w:vAlign w:val="center"/>
          </w:tcPr>
          <w:p w14:paraId="78AEE548">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2024年</w:t>
            </w:r>
          </w:p>
        </w:tc>
      </w:tr>
      <w:tr w14:paraId="23D1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10017AD1">
            <w:pPr>
              <w:pStyle w:val="5"/>
              <w:adjustRightInd w:val="0"/>
              <w:snapToGrid w:val="0"/>
              <w:spacing w:before="0" w:beforeLines="0" w:after="0" w:afterLines="0" w:line="240" w:lineRule="auto"/>
              <w:ind w:firstLine="0" w:firstLineChars="0"/>
              <w:jc w:val="center"/>
              <w:rPr>
                <w:rFonts w:cs="Times New Roman"/>
                <w:b/>
                <w:bCs/>
                <w:sz w:val="21"/>
                <w:szCs w:val="21"/>
              </w:rPr>
            </w:pPr>
            <w:r>
              <w:rPr>
                <w:rFonts w:hint="eastAsia" w:cs="Times New Roman"/>
                <w:b/>
                <w:bCs/>
                <w:sz w:val="21"/>
                <w:szCs w:val="21"/>
              </w:rPr>
              <w:t>“食安安徽”品牌（2个）</w:t>
            </w:r>
          </w:p>
        </w:tc>
      </w:tr>
      <w:tr w14:paraId="16ED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3D1CB836">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1</w:t>
            </w:r>
          </w:p>
        </w:tc>
        <w:tc>
          <w:tcPr>
            <w:tcW w:w="1795" w:type="pct"/>
            <w:vAlign w:val="center"/>
          </w:tcPr>
          <w:p w14:paraId="11D3D1B4">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牡丹籽油</w:t>
            </w:r>
          </w:p>
        </w:tc>
        <w:tc>
          <w:tcPr>
            <w:tcW w:w="2222" w:type="pct"/>
            <w:vAlign w:val="center"/>
          </w:tcPr>
          <w:p w14:paraId="062090F4">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铜陵凤丹种植科技开发有限责任公司</w:t>
            </w:r>
          </w:p>
        </w:tc>
        <w:tc>
          <w:tcPr>
            <w:tcW w:w="559" w:type="pct"/>
            <w:vAlign w:val="center"/>
          </w:tcPr>
          <w:p w14:paraId="2A659AB6">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2021年</w:t>
            </w:r>
          </w:p>
        </w:tc>
      </w:tr>
      <w:tr w14:paraId="43415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7E27E37A">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w:t>
            </w:r>
          </w:p>
        </w:tc>
        <w:tc>
          <w:tcPr>
            <w:tcW w:w="1795" w:type="pct"/>
            <w:vAlign w:val="center"/>
          </w:tcPr>
          <w:p w14:paraId="5B4EBFD2">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牡丹籽油</w:t>
            </w:r>
          </w:p>
        </w:tc>
        <w:tc>
          <w:tcPr>
            <w:tcW w:w="2222" w:type="pct"/>
            <w:vAlign w:val="center"/>
          </w:tcPr>
          <w:p w14:paraId="7721C8E8">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北京同仁堂安徽中药材有限公司</w:t>
            </w:r>
          </w:p>
        </w:tc>
        <w:tc>
          <w:tcPr>
            <w:tcW w:w="559" w:type="pct"/>
            <w:vAlign w:val="center"/>
          </w:tcPr>
          <w:p w14:paraId="66256284">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2021年</w:t>
            </w:r>
          </w:p>
        </w:tc>
      </w:tr>
    </w:tbl>
    <w:p w14:paraId="2303DA48">
      <w:pPr>
        <w:pStyle w:val="4"/>
        <w:rPr>
          <w:rFonts w:cs="Times New Roman"/>
        </w:rPr>
      </w:pPr>
      <w:bookmarkStart w:id="21" w:name="_Toc173425514"/>
      <w:bookmarkStart w:id="22" w:name="_Toc180074414"/>
      <w:bookmarkStart w:id="23" w:name="_Toc180020964"/>
      <w:r>
        <w:rPr>
          <w:rFonts w:cs="Times New Roman"/>
        </w:rPr>
        <w:t>4、科技支撑不断强化，产业能级跃升</w:t>
      </w:r>
      <w:bookmarkEnd w:id="21"/>
      <w:bookmarkEnd w:id="22"/>
      <w:bookmarkEnd w:id="23"/>
    </w:p>
    <w:p w14:paraId="65D9B33A">
      <w:pPr>
        <w:pStyle w:val="5"/>
        <w:spacing w:before="217" w:after="217"/>
        <w:ind w:firstLine="640"/>
        <w:rPr>
          <w:rFonts w:cs="Times New Roman"/>
        </w:rPr>
      </w:pPr>
      <w:r>
        <w:rPr>
          <w:rFonts w:cs="Times New Roman"/>
        </w:rPr>
        <w:t>近年来，铜陵市坚持科技创新驱动凤丹产业高质量发展，创新平台建设成效显著，做大做强铜陵国家农业科技园区，凤丹产业方面建成1家省级企业研发中心、2家市级工程技术研究中心、1家科技特派员工作站和1家科技特派员创新创业示范基地。强化科技创新支持力度，安排900万元市科技创新专项资金支持铜陵国家农业科技园区发展，市食品药品检验中心先后完成《凤丹种植重茬障碍综合治理及品质提升技术研究示范》《凤丹提取物的制备及质量控制和抗氧化性及抑菌性研究》，与省食品药品检验研究院合作建立了凤丹皮中药材标准，“凤丹牡丹油脂提质保鲜关键技术及功能性产品研发与产业化示范”“牡丹籽油提取工艺优化及功能性食品技术研发”先后列入2023年省级重点研发项目、市级科技计划项目。产学研合作持续深化，先后与中科院植物所、中国农业大学、安徽省农科院、江南大学、合肥工业大学等在种质资源保护、基因库建设、品种选育、精深加工等领域开展多维度合作。科技创新成果丰硕，全市正在申报牡丹新品种3个，即将上市牡丹功能性创新产品2个，凤丹相关发明专利2项、实用新型专利超70项，铜陵国家农业科技园区先后引进10余项新技术新设备，园区内企业先后荣获省级科技成果奖、省科学技术奖、市科学技术奖等。</w:t>
      </w:r>
    </w:p>
    <w:p w14:paraId="657BE7D2">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表1-3 铜陵市凤丹产业创新平台统计汇总</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3059"/>
        <w:gridCol w:w="3787"/>
        <w:gridCol w:w="953"/>
      </w:tblGrid>
      <w:tr w14:paraId="3E8F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5D794392">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1795" w:type="pct"/>
            <w:vAlign w:val="center"/>
          </w:tcPr>
          <w:p w14:paraId="1022218B">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名称</w:t>
            </w:r>
          </w:p>
        </w:tc>
        <w:tc>
          <w:tcPr>
            <w:tcW w:w="2222" w:type="pct"/>
            <w:vAlign w:val="center"/>
          </w:tcPr>
          <w:p w14:paraId="086D7B62">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依托主体</w:t>
            </w:r>
          </w:p>
        </w:tc>
        <w:tc>
          <w:tcPr>
            <w:tcW w:w="559" w:type="pct"/>
            <w:vAlign w:val="center"/>
          </w:tcPr>
          <w:p w14:paraId="6B2326AE">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备注</w:t>
            </w:r>
          </w:p>
        </w:tc>
      </w:tr>
      <w:tr w14:paraId="3575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2F464296">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创新园区平台（2家）</w:t>
            </w:r>
          </w:p>
        </w:tc>
      </w:tr>
      <w:tr w14:paraId="1EBD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6DC9E16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795" w:type="pct"/>
            <w:vAlign w:val="center"/>
          </w:tcPr>
          <w:p w14:paraId="74D890F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铜陵国家农业科技园区</w:t>
            </w:r>
          </w:p>
        </w:tc>
        <w:tc>
          <w:tcPr>
            <w:tcW w:w="2222" w:type="pct"/>
            <w:vAlign w:val="center"/>
          </w:tcPr>
          <w:p w14:paraId="333F4E3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w:t>
            </w:r>
          </w:p>
        </w:tc>
        <w:tc>
          <w:tcPr>
            <w:tcW w:w="559" w:type="pct"/>
            <w:vAlign w:val="center"/>
          </w:tcPr>
          <w:p w14:paraId="1EA799A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国家级</w:t>
            </w:r>
          </w:p>
        </w:tc>
      </w:tr>
      <w:tr w14:paraId="540C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5FE1666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1795" w:type="pct"/>
            <w:vAlign w:val="center"/>
          </w:tcPr>
          <w:p w14:paraId="6522327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农村创新创业园区</w:t>
            </w:r>
          </w:p>
        </w:tc>
        <w:tc>
          <w:tcPr>
            <w:tcW w:w="2222" w:type="pct"/>
            <w:vAlign w:val="center"/>
          </w:tcPr>
          <w:p w14:paraId="6BF6F02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铜陵国家农业科技园区</w:t>
            </w:r>
          </w:p>
        </w:tc>
        <w:tc>
          <w:tcPr>
            <w:tcW w:w="559" w:type="pct"/>
            <w:vAlign w:val="center"/>
          </w:tcPr>
          <w:p w14:paraId="7B67B16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国家级</w:t>
            </w:r>
          </w:p>
        </w:tc>
      </w:tr>
      <w:tr w14:paraId="4784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14:paraId="0541C739">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企业创新平台（5家）</w:t>
            </w:r>
          </w:p>
        </w:tc>
      </w:tr>
      <w:tr w14:paraId="4F75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446FAC2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795" w:type="pct"/>
            <w:vAlign w:val="center"/>
          </w:tcPr>
          <w:p w14:paraId="0B2C098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企业研发中心</w:t>
            </w:r>
          </w:p>
        </w:tc>
        <w:tc>
          <w:tcPr>
            <w:tcW w:w="2222" w:type="pct"/>
            <w:vAlign w:val="center"/>
          </w:tcPr>
          <w:p w14:paraId="3375F36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铜陵凤丹种植科技开发有限责任公司</w:t>
            </w:r>
          </w:p>
        </w:tc>
        <w:tc>
          <w:tcPr>
            <w:tcW w:w="559" w:type="pct"/>
            <w:vAlign w:val="center"/>
          </w:tcPr>
          <w:p w14:paraId="4F06B5B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省级</w:t>
            </w:r>
          </w:p>
        </w:tc>
      </w:tr>
      <w:tr w14:paraId="1F9E3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5B2EF7A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1795" w:type="pct"/>
            <w:vAlign w:val="center"/>
          </w:tcPr>
          <w:p w14:paraId="33DEBD6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企业工程技术研究中心</w:t>
            </w:r>
          </w:p>
        </w:tc>
        <w:tc>
          <w:tcPr>
            <w:tcW w:w="2222" w:type="pct"/>
            <w:vAlign w:val="center"/>
          </w:tcPr>
          <w:p w14:paraId="03159B3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铜陵丹凤种植科技开发有限责任公司</w:t>
            </w:r>
          </w:p>
        </w:tc>
        <w:tc>
          <w:tcPr>
            <w:tcW w:w="559" w:type="pct"/>
            <w:vAlign w:val="center"/>
          </w:tcPr>
          <w:p w14:paraId="6EF09C0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w:t>
            </w:r>
          </w:p>
        </w:tc>
      </w:tr>
      <w:tr w14:paraId="6D01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1476173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1795" w:type="pct"/>
            <w:vAlign w:val="center"/>
          </w:tcPr>
          <w:p w14:paraId="116515D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企业工程技术研究中心</w:t>
            </w:r>
          </w:p>
        </w:tc>
        <w:tc>
          <w:tcPr>
            <w:tcW w:w="2222" w:type="pct"/>
            <w:vAlign w:val="center"/>
          </w:tcPr>
          <w:p w14:paraId="6E03747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北京同仁堂安徽中药材有限公司</w:t>
            </w:r>
          </w:p>
        </w:tc>
        <w:tc>
          <w:tcPr>
            <w:tcW w:w="559" w:type="pct"/>
            <w:vAlign w:val="center"/>
          </w:tcPr>
          <w:p w14:paraId="15976B7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w:t>
            </w:r>
          </w:p>
        </w:tc>
      </w:tr>
      <w:tr w14:paraId="2B443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76E5813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1795" w:type="pct"/>
            <w:vAlign w:val="center"/>
          </w:tcPr>
          <w:p w14:paraId="5D9B22A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科技特派员工作站</w:t>
            </w:r>
          </w:p>
        </w:tc>
        <w:tc>
          <w:tcPr>
            <w:tcW w:w="2222" w:type="pct"/>
            <w:vAlign w:val="center"/>
          </w:tcPr>
          <w:p w14:paraId="238E1EE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铜陵亚通牡丹发展公司</w:t>
            </w:r>
          </w:p>
        </w:tc>
        <w:tc>
          <w:tcPr>
            <w:tcW w:w="559" w:type="pct"/>
            <w:vAlign w:val="center"/>
          </w:tcPr>
          <w:p w14:paraId="1E43D4B7">
            <w:pPr>
              <w:pStyle w:val="5"/>
              <w:adjustRightInd w:val="0"/>
              <w:snapToGrid w:val="0"/>
              <w:spacing w:before="0" w:beforeLines="0" w:after="0" w:afterLines="0" w:line="240" w:lineRule="auto"/>
              <w:ind w:firstLine="0" w:firstLineChars="0"/>
              <w:jc w:val="center"/>
              <w:rPr>
                <w:rFonts w:cs="Times New Roman"/>
                <w:sz w:val="21"/>
                <w:szCs w:val="21"/>
              </w:rPr>
            </w:pPr>
          </w:p>
        </w:tc>
      </w:tr>
      <w:tr w14:paraId="0D7D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7365DA2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1795" w:type="pct"/>
            <w:vAlign w:val="center"/>
          </w:tcPr>
          <w:p w14:paraId="256F9D8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科技特派员创新创业示范基地</w:t>
            </w:r>
          </w:p>
        </w:tc>
        <w:tc>
          <w:tcPr>
            <w:tcW w:w="2222" w:type="pct"/>
            <w:vAlign w:val="center"/>
          </w:tcPr>
          <w:p w14:paraId="45FB324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铜陵亚通牡丹发展公司</w:t>
            </w:r>
          </w:p>
        </w:tc>
        <w:tc>
          <w:tcPr>
            <w:tcW w:w="559" w:type="pct"/>
            <w:vAlign w:val="center"/>
          </w:tcPr>
          <w:p w14:paraId="50C41599">
            <w:pPr>
              <w:pStyle w:val="5"/>
              <w:adjustRightInd w:val="0"/>
              <w:snapToGrid w:val="0"/>
              <w:spacing w:before="0" w:beforeLines="0" w:after="0" w:afterLines="0" w:line="240" w:lineRule="auto"/>
              <w:ind w:firstLine="0" w:firstLineChars="0"/>
              <w:jc w:val="center"/>
              <w:rPr>
                <w:rFonts w:cs="Times New Roman"/>
                <w:sz w:val="21"/>
                <w:szCs w:val="21"/>
              </w:rPr>
            </w:pPr>
          </w:p>
        </w:tc>
      </w:tr>
    </w:tbl>
    <w:p w14:paraId="1DC8982B">
      <w:pPr>
        <w:pStyle w:val="4"/>
        <w:rPr>
          <w:rFonts w:cs="Times New Roman"/>
        </w:rPr>
      </w:pPr>
      <w:bookmarkStart w:id="24" w:name="_Toc173425515"/>
      <w:bookmarkStart w:id="25" w:name="_Toc180020965"/>
      <w:bookmarkStart w:id="26" w:name="_Toc180074415"/>
      <w:r>
        <w:rPr>
          <w:rFonts w:cs="Times New Roman"/>
        </w:rPr>
        <w:t>5、经营主体不断壮大，龙头带动性强</w:t>
      </w:r>
      <w:bookmarkEnd w:id="24"/>
      <w:bookmarkEnd w:id="25"/>
      <w:bookmarkEnd w:id="26"/>
    </w:p>
    <w:p w14:paraId="33827693">
      <w:pPr>
        <w:pStyle w:val="5"/>
        <w:spacing w:before="217" w:after="217"/>
        <w:ind w:firstLine="640"/>
        <w:rPr>
          <w:rFonts w:cs="Times New Roman"/>
        </w:rPr>
      </w:pPr>
      <w:r>
        <w:rPr>
          <w:rFonts w:cs="Times New Roman"/>
        </w:rPr>
        <w:t>铜陵市以义安区为核心加快推进凤丹产业发展，不断发展铜陵国家农业科技园区，义安区获批第三批国家农村产业融合发展示范园，成功入选国家农业现代化示范区创建名单，为凤丹产业发展提供了坚实的产业承载空间和产业发展生态。同时，铜陵市加速凤丹新型经营主体培育，目前义安区拥有凤丹产业领域省级龙头企业2家、市级龙头企业10家、家庭农场10家、农民专业合作社19家、市级以上示范现代农业产业化联合体2个，其中高新技术企业</w:t>
      </w:r>
      <w:r>
        <w:rPr>
          <w:rFonts w:hint="eastAsia" w:cs="Times New Roman"/>
        </w:rPr>
        <w:t>5</w:t>
      </w:r>
      <w:r>
        <w:rPr>
          <w:rFonts w:cs="Times New Roman"/>
        </w:rPr>
        <w:t>家、凤丹精深加工企业4家，先后组建安徽省牡丹协会、安徽凤丹产业技术创新战略联盟、铜陵市义安区牡丹产业协会等组织。凤丹龙头企业铜陵凤丹种植科技开发有限责任公司拥有目前国内最先进牡丹籽油、牡丹花蕊茶深加工生产线和纯物理压榨、亚临界萃取等牡丹籽油提取先进生产工艺，2022年带动农民就业1万余人，‌人均增收2万元；铜陵禾田中药饮片股份有限公司通过“公司+基地+农户”生产模式，带动当地30余户村民就业，每户农户年收入达5万元。</w:t>
      </w:r>
    </w:p>
    <w:p w14:paraId="2F0BADC9">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表1-4 铜陵市义安区凤丹产业相关新型经营主体统计汇总</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5245"/>
        <w:gridCol w:w="1780"/>
      </w:tblGrid>
      <w:tr w14:paraId="1139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E16BD53">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5245" w:type="dxa"/>
            <w:vAlign w:val="center"/>
          </w:tcPr>
          <w:p w14:paraId="796A1A07">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名称</w:t>
            </w:r>
          </w:p>
        </w:tc>
        <w:tc>
          <w:tcPr>
            <w:tcW w:w="1780" w:type="dxa"/>
            <w:vAlign w:val="center"/>
          </w:tcPr>
          <w:p w14:paraId="76756890">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备注</w:t>
            </w:r>
          </w:p>
        </w:tc>
      </w:tr>
      <w:tr w14:paraId="7AF7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3"/>
            <w:vAlign w:val="center"/>
          </w:tcPr>
          <w:p w14:paraId="60C18425">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市级以上龙头企业（12家）</w:t>
            </w:r>
          </w:p>
        </w:tc>
      </w:tr>
      <w:tr w14:paraId="31D2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339568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5245" w:type="dxa"/>
          </w:tcPr>
          <w:p w14:paraId="49B85B2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铜陵禾田中药饮片股份有限公司</w:t>
            </w:r>
          </w:p>
        </w:tc>
        <w:tc>
          <w:tcPr>
            <w:tcW w:w="1780" w:type="dxa"/>
            <w:vAlign w:val="center"/>
          </w:tcPr>
          <w:p w14:paraId="408E655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省级龙头企业</w:t>
            </w:r>
          </w:p>
        </w:tc>
      </w:tr>
      <w:tr w14:paraId="1296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3C123F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5245" w:type="dxa"/>
          </w:tcPr>
          <w:p w14:paraId="038D99B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铜陵凤丹种植科技开发有限责任公司</w:t>
            </w:r>
          </w:p>
        </w:tc>
        <w:tc>
          <w:tcPr>
            <w:tcW w:w="1780" w:type="dxa"/>
            <w:vAlign w:val="center"/>
          </w:tcPr>
          <w:p w14:paraId="6A4FCDC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省级龙头企业</w:t>
            </w:r>
          </w:p>
        </w:tc>
      </w:tr>
      <w:tr w14:paraId="41CE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33EAD07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5245" w:type="dxa"/>
          </w:tcPr>
          <w:p w14:paraId="524B645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安徽梦思康中药材有限公司</w:t>
            </w:r>
          </w:p>
        </w:tc>
        <w:tc>
          <w:tcPr>
            <w:tcW w:w="1780" w:type="dxa"/>
            <w:vAlign w:val="center"/>
          </w:tcPr>
          <w:p w14:paraId="3155C0B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5B42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3BA0071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5245" w:type="dxa"/>
          </w:tcPr>
          <w:p w14:paraId="053C544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北京同仁堂安徽中药材有限公司</w:t>
            </w:r>
          </w:p>
        </w:tc>
        <w:tc>
          <w:tcPr>
            <w:tcW w:w="1780" w:type="dxa"/>
            <w:vAlign w:val="center"/>
          </w:tcPr>
          <w:p w14:paraId="767AACC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5A93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CEB2D7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5245" w:type="dxa"/>
          </w:tcPr>
          <w:p w14:paraId="553D22A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安徽荣京生物科技有限公司</w:t>
            </w:r>
          </w:p>
        </w:tc>
        <w:tc>
          <w:tcPr>
            <w:tcW w:w="1780" w:type="dxa"/>
            <w:vAlign w:val="center"/>
          </w:tcPr>
          <w:p w14:paraId="2566248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5B027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3B9F507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6</w:t>
            </w:r>
          </w:p>
        </w:tc>
        <w:tc>
          <w:tcPr>
            <w:tcW w:w="5245" w:type="dxa"/>
          </w:tcPr>
          <w:p w14:paraId="69DE723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铜陵梧桐树农业发展有限公司</w:t>
            </w:r>
          </w:p>
        </w:tc>
        <w:tc>
          <w:tcPr>
            <w:tcW w:w="1780" w:type="dxa"/>
            <w:vAlign w:val="center"/>
          </w:tcPr>
          <w:p w14:paraId="15CFABE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22E62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438366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7</w:t>
            </w:r>
          </w:p>
        </w:tc>
        <w:tc>
          <w:tcPr>
            <w:tcW w:w="5245" w:type="dxa"/>
          </w:tcPr>
          <w:p w14:paraId="7B8CFCA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铜陵吉草饮健康科技有限公司</w:t>
            </w:r>
          </w:p>
        </w:tc>
        <w:tc>
          <w:tcPr>
            <w:tcW w:w="1780" w:type="dxa"/>
            <w:vAlign w:val="center"/>
          </w:tcPr>
          <w:p w14:paraId="6AC501E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6EA0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59D0CC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8</w:t>
            </w:r>
          </w:p>
        </w:tc>
        <w:tc>
          <w:tcPr>
            <w:tcW w:w="5245" w:type="dxa"/>
          </w:tcPr>
          <w:p w14:paraId="1500FC5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安徽皖南中药材科技有限责任公司</w:t>
            </w:r>
          </w:p>
        </w:tc>
        <w:tc>
          <w:tcPr>
            <w:tcW w:w="1780" w:type="dxa"/>
            <w:vAlign w:val="center"/>
          </w:tcPr>
          <w:p w14:paraId="61DCCC8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6B97F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1C7E123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9</w:t>
            </w:r>
          </w:p>
        </w:tc>
        <w:tc>
          <w:tcPr>
            <w:tcW w:w="5245" w:type="dxa"/>
          </w:tcPr>
          <w:p w14:paraId="2B8D6BB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铜陵瑞璞牡丹产业发展有限公司</w:t>
            </w:r>
          </w:p>
        </w:tc>
        <w:tc>
          <w:tcPr>
            <w:tcW w:w="1780" w:type="dxa"/>
            <w:vAlign w:val="center"/>
          </w:tcPr>
          <w:p w14:paraId="6B6A645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1536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72385B7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10</w:t>
            </w:r>
          </w:p>
        </w:tc>
        <w:tc>
          <w:tcPr>
            <w:tcW w:w="5245" w:type="dxa"/>
          </w:tcPr>
          <w:p w14:paraId="77197BF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铜陵晨辉生态农业发展有限公司</w:t>
            </w:r>
          </w:p>
        </w:tc>
        <w:tc>
          <w:tcPr>
            <w:tcW w:w="1780" w:type="dxa"/>
            <w:vAlign w:val="center"/>
          </w:tcPr>
          <w:p w14:paraId="27B63C5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3BFF8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158FC6D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11</w:t>
            </w:r>
          </w:p>
        </w:tc>
        <w:tc>
          <w:tcPr>
            <w:tcW w:w="5245" w:type="dxa"/>
          </w:tcPr>
          <w:p w14:paraId="47CCDC7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铜陵市丰霖农业发展有限责任公司</w:t>
            </w:r>
          </w:p>
        </w:tc>
        <w:tc>
          <w:tcPr>
            <w:tcW w:w="1780" w:type="dxa"/>
            <w:vAlign w:val="center"/>
          </w:tcPr>
          <w:p w14:paraId="19325BF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718D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7F60161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12</w:t>
            </w:r>
          </w:p>
        </w:tc>
        <w:tc>
          <w:tcPr>
            <w:tcW w:w="5245" w:type="dxa"/>
          </w:tcPr>
          <w:p w14:paraId="243B6F4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安徽千草御仁堂药业有限公司</w:t>
            </w:r>
          </w:p>
        </w:tc>
        <w:tc>
          <w:tcPr>
            <w:tcW w:w="1780" w:type="dxa"/>
            <w:vAlign w:val="center"/>
          </w:tcPr>
          <w:p w14:paraId="1727EBC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市级龙头企业</w:t>
            </w:r>
          </w:p>
        </w:tc>
      </w:tr>
      <w:tr w14:paraId="3C1A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3"/>
            <w:vAlign w:val="center"/>
          </w:tcPr>
          <w:p w14:paraId="7A9EE095">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高新技术企业（5家）</w:t>
            </w:r>
          </w:p>
        </w:tc>
      </w:tr>
      <w:tr w14:paraId="12E2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474360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5245" w:type="dxa"/>
            <w:vAlign w:val="center"/>
          </w:tcPr>
          <w:p w14:paraId="5948B83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铜陵禾田中药饮片股份有限公司</w:t>
            </w:r>
          </w:p>
        </w:tc>
        <w:tc>
          <w:tcPr>
            <w:tcW w:w="1780" w:type="dxa"/>
            <w:vAlign w:val="center"/>
          </w:tcPr>
          <w:p w14:paraId="55CF75AF">
            <w:pPr>
              <w:pStyle w:val="5"/>
              <w:adjustRightInd w:val="0"/>
              <w:snapToGrid w:val="0"/>
              <w:spacing w:before="0" w:beforeLines="0" w:after="0" w:afterLines="0" w:line="240" w:lineRule="auto"/>
              <w:ind w:firstLine="0" w:firstLineChars="0"/>
              <w:jc w:val="center"/>
              <w:rPr>
                <w:rFonts w:cs="Times New Roman"/>
                <w:sz w:val="21"/>
                <w:szCs w:val="21"/>
              </w:rPr>
            </w:pPr>
          </w:p>
        </w:tc>
      </w:tr>
      <w:tr w14:paraId="5A99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1D7DA8F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5245" w:type="dxa"/>
            <w:vAlign w:val="center"/>
          </w:tcPr>
          <w:p w14:paraId="78C8503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铜陵亚通牡丹产业发展有限公司</w:t>
            </w:r>
          </w:p>
        </w:tc>
        <w:tc>
          <w:tcPr>
            <w:tcW w:w="1780" w:type="dxa"/>
            <w:vAlign w:val="center"/>
          </w:tcPr>
          <w:p w14:paraId="37B94BAE">
            <w:pPr>
              <w:pStyle w:val="5"/>
              <w:adjustRightInd w:val="0"/>
              <w:snapToGrid w:val="0"/>
              <w:spacing w:before="0" w:beforeLines="0" w:after="0" w:afterLines="0" w:line="240" w:lineRule="auto"/>
              <w:ind w:firstLine="0" w:firstLineChars="0"/>
              <w:jc w:val="center"/>
              <w:rPr>
                <w:rFonts w:cs="Times New Roman"/>
                <w:sz w:val="21"/>
                <w:szCs w:val="21"/>
              </w:rPr>
            </w:pPr>
          </w:p>
        </w:tc>
      </w:tr>
      <w:tr w14:paraId="2DB2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1F977D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5245" w:type="dxa"/>
            <w:vAlign w:val="center"/>
          </w:tcPr>
          <w:p w14:paraId="1A7808D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北京同仁堂安徽中药材有限公司</w:t>
            </w:r>
          </w:p>
        </w:tc>
        <w:tc>
          <w:tcPr>
            <w:tcW w:w="1780" w:type="dxa"/>
            <w:vAlign w:val="center"/>
          </w:tcPr>
          <w:p w14:paraId="09F8ED3E">
            <w:pPr>
              <w:pStyle w:val="5"/>
              <w:adjustRightInd w:val="0"/>
              <w:snapToGrid w:val="0"/>
              <w:spacing w:before="0" w:beforeLines="0" w:after="0" w:afterLines="0" w:line="240" w:lineRule="auto"/>
              <w:ind w:firstLine="0" w:firstLineChars="0"/>
              <w:jc w:val="center"/>
              <w:rPr>
                <w:rFonts w:cs="Times New Roman"/>
                <w:sz w:val="21"/>
                <w:szCs w:val="21"/>
              </w:rPr>
            </w:pPr>
          </w:p>
        </w:tc>
      </w:tr>
      <w:tr w14:paraId="5102A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1B688D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5245" w:type="dxa"/>
            <w:vAlign w:val="center"/>
          </w:tcPr>
          <w:p w14:paraId="72AD6FB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铜陵凤丹种植科技开发有限责任公司</w:t>
            </w:r>
          </w:p>
        </w:tc>
        <w:tc>
          <w:tcPr>
            <w:tcW w:w="1780" w:type="dxa"/>
            <w:vAlign w:val="center"/>
          </w:tcPr>
          <w:p w14:paraId="02A36267">
            <w:pPr>
              <w:pStyle w:val="5"/>
              <w:adjustRightInd w:val="0"/>
              <w:snapToGrid w:val="0"/>
              <w:spacing w:before="0" w:beforeLines="0" w:after="0" w:afterLines="0" w:line="240" w:lineRule="auto"/>
              <w:ind w:firstLine="0" w:firstLineChars="0"/>
              <w:jc w:val="center"/>
              <w:rPr>
                <w:rFonts w:cs="Times New Roman"/>
                <w:sz w:val="21"/>
                <w:szCs w:val="21"/>
              </w:rPr>
            </w:pPr>
          </w:p>
        </w:tc>
      </w:tr>
      <w:tr w14:paraId="7A0A3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F10062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5245" w:type="dxa"/>
            <w:vAlign w:val="center"/>
          </w:tcPr>
          <w:p w14:paraId="54C8905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安徽荣京生物科技有限公司</w:t>
            </w:r>
          </w:p>
        </w:tc>
        <w:tc>
          <w:tcPr>
            <w:tcW w:w="1780" w:type="dxa"/>
            <w:vAlign w:val="center"/>
          </w:tcPr>
          <w:p w14:paraId="2D56E7E0">
            <w:pPr>
              <w:pStyle w:val="5"/>
              <w:adjustRightInd w:val="0"/>
              <w:snapToGrid w:val="0"/>
              <w:spacing w:before="0" w:beforeLines="0" w:after="0" w:afterLines="0" w:line="240" w:lineRule="auto"/>
              <w:ind w:firstLine="0" w:firstLineChars="0"/>
              <w:jc w:val="center"/>
              <w:rPr>
                <w:rFonts w:cs="Times New Roman"/>
                <w:sz w:val="21"/>
                <w:szCs w:val="21"/>
              </w:rPr>
            </w:pPr>
          </w:p>
        </w:tc>
      </w:tr>
      <w:tr w14:paraId="55D5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3"/>
            <w:vAlign w:val="center"/>
          </w:tcPr>
          <w:p w14:paraId="74E02418">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市级以上示范现代农业产业化联合体（2个）</w:t>
            </w:r>
          </w:p>
        </w:tc>
      </w:tr>
      <w:tr w14:paraId="3C42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293DD4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5245" w:type="dxa"/>
            <w:vAlign w:val="center"/>
          </w:tcPr>
          <w:p w14:paraId="7D9BEE0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铜陵牡丹产业联合体</w:t>
            </w:r>
          </w:p>
        </w:tc>
        <w:tc>
          <w:tcPr>
            <w:tcW w:w="1780" w:type="dxa"/>
            <w:vAlign w:val="center"/>
          </w:tcPr>
          <w:p w14:paraId="6206DC6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省级</w:t>
            </w:r>
          </w:p>
        </w:tc>
      </w:tr>
      <w:tr w14:paraId="1B3C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59966AD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5245" w:type="dxa"/>
            <w:vAlign w:val="center"/>
          </w:tcPr>
          <w:p w14:paraId="7A8E7B9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铜陵聚无忧农业电子商务联合体</w:t>
            </w:r>
          </w:p>
        </w:tc>
        <w:tc>
          <w:tcPr>
            <w:tcW w:w="1780" w:type="dxa"/>
            <w:vAlign w:val="center"/>
          </w:tcPr>
          <w:p w14:paraId="47296CB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省级</w:t>
            </w:r>
          </w:p>
        </w:tc>
      </w:tr>
      <w:tr w14:paraId="36E6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3"/>
            <w:vAlign w:val="center"/>
          </w:tcPr>
          <w:p w14:paraId="74BAA205">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家庭农场（10家）</w:t>
            </w:r>
          </w:p>
        </w:tc>
      </w:tr>
      <w:tr w14:paraId="6E885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5485F3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5245" w:type="dxa"/>
          </w:tcPr>
          <w:p w14:paraId="047A871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铜陵凤岗家庭农场</w:t>
            </w:r>
          </w:p>
        </w:tc>
        <w:tc>
          <w:tcPr>
            <w:tcW w:w="1780" w:type="dxa"/>
            <w:vAlign w:val="center"/>
          </w:tcPr>
          <w:p w14:paraId="6B9C8432">
            <w:pPr>
              <w:pStyle w:val="5"/>
              <w:adjustRightInd w:val="0"/>
              <w:snapToGrid w:val="0"/>
              <w:spacing w:before="0" w:beforeLines="0" w:after="0" w:afterLines="0" w:line="240" w:lineRule="auto"/>
              <w:ind w:firstLine="0" w:firstLineChars="0"/>
              <w:jc w:val="center"/>
              <w:rPr>
                <w:rFonts w:cs="Times New Roman"/>
                <w:sz w:val="21"/>
                <w:szCs w:val="21"/>
              </w:rPr>
            </w:pPr>
          </w:p>
        </w:tc>
      </w:tr>
      <w:tr w14:paraId="100C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7F7F212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5245" w:type="dxa"/>
          </w:tcPr>
          <w:p w14:paraId="4B28846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铜陵忠利家庭农场</w:t>
            </w:r>
          </w:p>
        </w:tc>
        <w:tc>
          <w:tcPr>
            <w:tcW w:w="1780" w:type="dxa"/>
            <w:vAlign w:val="center"/>
          </w:tcPr>
          <w:p w14:paraId="6C6C4127">
            <w:pPr>
              <w:pStyle w:val="5"/>
              <w:adjustRightInd w:val="0"/>
              <w:snapToGrid w:val="0"/>
              <w:spacing w:before="0" w:beforeLines="0" w:after="0" w:afterLines="0" w:line="240" w:lineRule="auto"/>
              <w:ind w:firstLine="0" w:firstLineChars="0"/>
              <w:jc w:val="center"/>
              <w:rPr>
                <w:rFonts w:cs="Times New Roman"/>
                <w:sz w:val="21"/>
                <w:szCs w:val="21"/>
              </w:rPr>
            </w:pPr>
          </w:p>
        </w:tc>
      </w:tr>
      <w:tr w14:paraId="5AC7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495E22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5245" w:type="dxa"/>
          </w:tcPr>
          <w:p w14:paraId="4512082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铜陵康健家庭农场</w:t>
            </w:r>
          </w:p>
        </w:tc>
        <w:tc>
          <w:tcPr>
            <w:tcW w:w="1780" w:type="dxa"/>
            <w:vAlign w:val="center"/>
          </w:tcPr>
          <w:p w14:paraId="5FD0728C">
            <w:pPr>
              <w:pStyle w:val="5"/>
              <w:adjustRightInd w:val="0"/>
              <w:snapToGrid w:val="0"/>
              <w:spacing w:before="0" w:beforeLines="0" w:after="0" w:afterLines="0" w:line="240" w:lineRule="auto"/>
              <w:ind w:firstLine="0" w:firstLineChars="0"/>
              <w:jc w:val="center"/>
              <w:rPr>
                <w:rFonts w:cs="Times New Roman"/>
                <w:sz w:val="21"/>
                <w:szCs w:val="21"/>
              </w:rPr>
            </w:pPr>
          </w:p>
        </w:tc>
      </w:tr>
      <w:tr w14:paraId="07725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CED5A7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5245" w:type="dxa"/>
          </w:tcPr>
          <w:p w14:paraId="28B437A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铜陵陈门家庭农场</w:t>
            </w:r>
          </w:p>
        </w:tc>
        <w:tc>
          <w:tcPr>
            <w:tcW w:w="1780" w:type="dxa"/>
            <w:vAlign w:val="center"/>
          </w:tcPr>
          <w:p w14:paraId="24C728BB">
            <w:pPr>
              <w:pStyle w:val="5"/>
              <w:adjustRightInd w:val="0"/>
              <w:snapToGrid w:val="0"/>
              <w:spacing w:before="0" w:beforeLines="0" w:after="0" w:afterLines="0" w:line="240" w:lineRule="auto"/>
              <w:ind w:firstLine="0" w:firstLineChars="0"/>
              <w:jc w:val="center"/>
              <w:rPr>
                <w:rFonts w:cs="Times New Roman"/>
                <w:sz w:val="21"/>
                <w:szCs w:val="21"/>
              </w:rPr>
            </w:pPr>
          </w:p>
        </w:tc>
      </w:tr>
      <w:tr w14:paraId="1AD6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785F0D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5245" w:type="dxa"/>
          </w:tcPr>
          <w:p w14:paraId="7874915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铜陵丹宝家庭农场</w:t>
            </w:r>
          </w:p>
        </w:tc>
        <w:tc>
          <w:tcPr>
            <w:tcW w:w="1780" w:type="dxa"/>
            <w:vAlign w:val="center"/>
          </w:tcPr>
          <w:p w14:paraId="2AF88369">
            <w:pPr>
              <w:pStyle w:val="5"/>
              <w:adjustRightInd w:val="0"/>
              <w:snapToGrid w:val="0"/>
              <w:spacing w:before="0" w:beforeLines="0" w:after="0" w:afterLines="0" w:line="240" w:lineRule="auto"/>
              <w:ind w:firstLine="0" w:firstLineChars="0"/>
              <w:jc w:val="center"/>
              <w:rPr>
                <w:rFonts w:cs="Times New Roman"/>
                <w:sz w:val="21"/>
                <w:szCs w:val="21"/>
              </w:rPr>
            </w:pPr>
          </w:p>
        </w:tc>
      </w:tr>
      <w:tr w14:paraId="2028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0D7074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6</w:t>
            </w:r>
          </w:p>
        </w:tc>
        <w:tc>
          <w:tcPr>
            <w:tcW w:w="5245" w:type="dxa"/>
          </w:tcPr>
          <w:p w14:paraId="743F046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铜陵凤宝家庭农场</w:t>
            </w:r>
          </w:p>
        </w:tc>
        <w:tc>
          <w:tcPr>
            <w:tcW w:w="1780" w:type="dxa"/>
            <w:vAlign w:val="center"/>
          </w:tcPr>
          <w:p w14:paraId="309A07C4">
            <w:pPr>
              <w:pStyle w:val="5"/>
              <w:adjustRightInd w:val="0"/>
              <w:snapToGrid w:val="0"/>
              <w:spacing w:before="0" w:beforeLines="0" w:after="0" w:afterLines="0" w:line="240" w:lineRule="auto"/>
              <w:ind w:firstLine="0" w:firstLineChars="0"/>
              <w:jc w:val="center"/>
              <w:rPr>
                <w:rFonts w:cs="Times New Roman"/>
                <w:sz w:val="21"/>
                <w:szCs w:val="21"/>
              </w:rPr>
            </w:pPr>
          </w:p>
        </w:tc>
      </w:tr>
      <w:tr w14:paraId="71E02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57012B2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7</w:t>
            </w:r>
          </w:p>
        </w:tc>
        <w:tc>
          <w:tcPr>
            <w:tcW w:w="5245" w:type="dxa"/>
          </w:tcPr>
          <w:p w14:paraId="62E1401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铜陵思根家庭农场</w:t>
            </w:r>
          </w:p>
        </w:tc>
        <w:tc>
          <w:tcPr>
            <w:tcW w:w="1780" w:type="dxa"/>
            <w:vAlign w:val="center"/>
          </w:tcPr>
          <w:p w14:paraId="7663E8A0">
            <w:pPr>
              <w:pStyle w:val="5"/>
              <w:adjustRightInd w:val="0"/>
              <w:snapToGrid w:val="0"/>
              <w:spacing w:before="0" w:beforeLines="0" w:after="0" w:afterLines="0" w:line="240" w:lineRule="auto"/>
              <w:ind w:firstLine="0" w:firstLineChars="0"/>
              <w:jc w:val="center"/>
              <w:rPr>
                <w:rFonts w:cs="Times New Roman"/>
                <w:sz w:val="21"/>
                <w:szCs w:val="21"/>
              </w:rPr>
            </w:pPr>
          </w:p>
        </w:tc>
      </w:tr>
      <w:tr w14:paraId="5CF0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3F2492E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8</w:t>
            </w:r>
          </w:p>
        </w:tc>
        <w:tc>
          <w:tcPr>
            <w:tcW w:w="5245" w:type="dxa"/>
          </w:tcPr>
          <w:p w14:paraId="7923FDE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铜陵县钟鸣镇吴寿春家庭农场</w:t>
            </w:r>
          </w:p>
        </w:tc>
        <w:tc>
          <w:tcPr>
            <w:tcW w:w="1780" w:type="dxa"/>
            <w:vAlign w:val="center"/>
          </w:tcPr>
          <w:p w14:paraId="74CFA4C2">
            <w:pPr>
              <w:pStyle w:val="5"/>
              <w:adjustRightInd w:val="0"/>
              <w:snapToGrid w:val="0"/>
              <w:spacing w:before="0" w:beforeLines="0" w:after="0" w:afterLines="0" w:line="240" w:lineRule="auto"/>
              <w:ind w:firstLine="0" w:firstLineChars="0"/>
              <w:jc w:val="center"/>
              <w:rPr>
                <w:rFonts w:cs="Times New Roman"/>
                <w:sz w:val="21"/>
                <w:szCs w:val="21"/>
              </w:rPr>
            </w:pPr>
          </w:p>
        </w:tc>
      </w:tr>
      <w:tr w14:paraId="0D80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1787AF5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9</w:t>
            </w:r>
          </w:p>
        </w:tc>
        <w:tc>
          <w:tcPr>
            <w:tcW w:w="5245" w:type="dxa"/>
          </w:tcPr>
          <w:p w14:paraId="4B5E564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铜陵县西联乡老观圩牡丹种植家庭农场</w:t>
            </w:r>
          </w:p>
        </w:tc>
        <w:tc>
          <w:tcPr>
            <w:tcW w:w="1780" w:type="dxa"/>
            <w:vAlign w:val="center"/>
          </w:tcPr>
          <w:p w14:paraId="7D219C90">
            <w:pPr>
              <w:pStyle w:val="5"/>
              <w:adjustRightInd w:val="0"/>
              <w:snapToGrid w:val="0"/>
              <w:spacing w:before="0" w:beforeLines="0" w:after="0" w:afterLines="0" w:line="240" w:lineRule="auto"/>
              <w:ind w:firstLine="0" w:firstLineChars="0"/>
              <w:jc w:val="center"/>
              <w:rPr>
                <w:rFonts w:cs="Times New Roman"/>
                <w:sz w:val="21"/>
                <w:szCs w:val="21"/>
              </w:rPr>
            </w:pPr>
          </w:p>
        </w:tc>
      </w:tr>
      <w:tr w14:paraId="67BD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CA234D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10</w:t>
            </w:r>
          </w:p>
        </w:tc>
        <w:tc>
          <w:tcPr>
            <w:tcW w:w="5245" w:type="dxa"/>
          </w:tcPr>
          <w:p w14:paraId="45D1F67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铜陵县鑫丰家庭农场</w:t>
            </w:r>
          </w:p>
        </w:tc>
        <w:tc>
          <w:tcPr>
            <w:tcW w:w="1780" w:type="dxa"/>
            <w:vAlign w:val="center"/>
          </w:tcPr>
          <w:p w14:paraId="22E935AF">
            <w:pPr>
              <w:pStyle w:val="5"/>
              <w:adjustRightInd w:val="0"/>
              <w:snapToGrid w:val="0"/>
              <w:spacing w:before="0" w:beforeLines="0" w:after="0" w:afterLines="0" w:line="240" w:lineRule="auto"/>
              <w:ind w:firstLine="0" w:firstLineChars="0"/>
              <w:jc w:val="center"/>
              <w:rPr>
                <w:rFonts w:cs="Times New Roman"/>
                <w:sz w:val="21"/>
                <w:szCs w:val="21"/>
              </w:rPr>
            </w:pPr>
          </w:p>
        </w:tc>
      </w:tr>
      <w:tr w14:paraId="3058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3"/>
            <w:vAlign w:val="center"/>
          </w:tcPr>
          <w:p w14:paraId="60F84ABF">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农民专业合作社（19家）</w:t>
            </w:r>
          </w:p>
        </w:tc>
      </w:tr>
      <w:tr w14:paraId="7846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8A2326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5245" w:type="dxa"/>
          </w:tcPr>
          <w:p w14:paraId="1173EDF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铜陵县志刚种植专业合作社</w:t>
            </w:r>
          </w:p>
        </w:tc>
        <w:tc>
          <w:tcPr>
            <w:tcW w:w="1780" w:type="dxa"/>
            <w:vAlign w:val="center"/>
          </w:tcPr>
          <w:p w14:paraId="277CC2B9">
            <w:pPr>
              <w:pStyle w:val="5"/>
              <w:adjustRightInd w:val="0"/>
              <w:snapToGrid w:val="0"/>
              <w:spacing w:before="0" w:beforeLines="0" w:after="0" w:afterLines="0" w:line="240" w:lineRule="auto"/>
              <w:ind w:firstLine="0" w:firstLineChars="0"/>
              <w:jc w:val="center"/>
              <w:rPr>
                <w:rFonts w:cs="Times New Roman"/>
                <w:sz w:val="21"/>
                <w:szCs w:val="21"/>
              </w:rPr>
            </w:pPr>
          </w:p>
        </w:tc>
      </w:tr>
      <w:tr w14:paraId="14350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5393B32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5245" w:type="dxa"/>
          </w:tcPr>
          <w:p w14:paraId="644D503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铜陵忠旺农业专业合作社</w:t>
            </w:r>
          </w:p>
        </w:tc>
        <w:tc>
          <w:tcPr>
            <w:tcW w:w="1780" w:type="dxa"/>
            <w:vAlign w:val="center"/>
          </w:tcPr>
          <w:p w14:paraId="050B0E6C">
            <w:pPr>
              <w:pStyle w:val="5"/>
              <w:adjustRightInd w:val="0"/>
              <w:snapToGrid w:val="0"/>
              <w:spacing w:before="0" w:beforeLines="0" w:after="0" w:afterLines="0" w:line="240" w:lineRule="auto"/>
              <w:ind w:firstLine="0" w:firstLineChars="0"/>
              <w:jc w:val="center"/>
              <w:rPr>
                <w:rFonts w:cs="Times New Roman"/>
                <w:sz w:val="21"/>
                <w:szCs w:val="21"/>
              </w:rPr>
            </w:pPr>
          </w:p>
        </w:tc>
      </w:tr>
      <w:tr w14:paraId="3D3F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506CA1D2">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5245" w:type="dxa"/>
          </w:tcPr>
          <w:p w14:paraId="7288DDF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铜陵凤凰山牡丹种植专业合作社</w:t>
            </w:r>
          </w:p>
        </w:tc>
        <w:tc>
          <w:tcPr>
            <w:tcW w:w="1780" w:type="dxa"/>
            <w:vAlign w:val="center"/>
          </w:tcPr>
          <w:p w14:paraId="07B81D0F">
            <w:pPr>
              <w:pStyle w:val="5"/>
              <w:adjustRightInd w:val="0"/>
              <w:snapToGrid w:val="0"/>
              <w:spacing w:before="0" w:beforeLines="0" w:after="0" w:afterLines="0" w:line="240" w:lineRule="auto"/>
              <w:ind w:firstLine="0" w:firstLineChars="0"/>
              <w:jc w:val="center"/>
              <w:rPr>
                <w:rFonts w:cs="Times New Roman"/>
                <w:sz w:val="21"/>
                <w:szCs w:val="21"/>
              </w:rPr>
            </w:pPr>
          </w:p>
        </w:tc>
      </w:tr>
      <w:tr w14:paraId="1DAB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5E4176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5245" w:type="dxa"/>
          </w:tcPr>
          <w:p w14:paraId="5A6242B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铜陵思凤丹皮专业合作社</w:t>
            </w:r>
          </w:p>
        </w:tc>
        <w:tc>
          <w:tcPr>
            <w:tcW w:w="1780" w:type="dxa"/>
            <w:vAlign w:val="center"/>
          </w:tcPr>
          <w:p w14:paraId="06A5B209">
            <w:pPr>
              <w:pStyle w:val="5"/>
              <w:adjustRightInd w:val="0"/>
              <w:snapToGrid w:val="0"/>
              <w:spacing w:before="0" w:beforeLines="0" w:after="0" w:afterLines="0" w:line="240" w:lineRule="auto"/>
              <w:ind w:firstLine="0" w:firstLineChars="0"/>
              <w:jc w:val="center"/>
              <w:rPr>
                <w:rFonts w:cs="Times New Roman"/>
                <w:sz w:val="21"/>
                <w:szCs w:val="21"/>
              </w:rPr>
            </w:pPr>
          </w:p>
        </w:tc>
      </w:tr>
      <w:tr w14:paraId="17AB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5EB418E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5245" w:type="dxa"/>
          </w:tcPr>
          <w:p w14:paraId="3E2B9C2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铜陵银凤丹皮专业合作社</w:t>
            </w:r>
          </w:p>
        </w:tc>
        <w:tc>
          <w:tcPr>
            <w:tcW w:w="1780" w:type="dxa"/>
            <w:vAlign w:val="center"/>
          </w:tcPr>
          <w:p w14:paraId="2A1235EC">
            <w:pPr>
              <w:pStyle w:val="5"/>
              <w:adjustRightInd w:val="0"/>
              <w:snapToGrid w:val="0"/>
              <w:spacing w:before="0" w:beforeLines="0" w:after="0" w:afterLines="0" w:line="240" w:lineRule="auto"/>
              <w:ind w:firstLine="0" w:firstLineChars="0"/>
              <w:jc w:val="center"/>
              <w:rPr>
                <w:rFonts w:cs="Times New Roman"/>
                <w:sz w:val="21"/>
                <w:szCs w:val="21"/>
              </w:rPr>
            </w:pPr>
          </w:p>
        </w:tc>
      </w:tr>
      <w:tr w14:paraId="670C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5FE8AF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6</w:t>
            </w:r>
          </w:p>
        </w:tc>
        <w:tc>
          <w:tcPr>
            <w:tcW w:w="5245" w:type="dxa"/>
          </w:tcPr>
          <w:p w14:paraId="3125052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铜陵俞村凤丹皮种植专业合作社</w:t>
            </w:r>
          </w:p>
        </w:tc>
        <w:tc>
          <w:tcPr>
            <w:tcW w:w="1780" w:type="dxa"/>
            <w:vAlign w:val="center"/>
          </w:tcPr>
          <w:p w14:paraId="7443C5EA">
            <w:pPr>
              <w:pStyle w:val="5"/>
              <w:adjustRightInd w:val="0"/>
              <w:snapToGrid w:val="0"/>
              <w:spacing w:before="0" w:beforeLines="0" w:after="0" w:afterLines="0" w:line="240" w:lineRule="auto"/>
              <w:ind w:firstLine="0" w:firstLineChars="0"/>
              <w:jc w:val="center"/>
              <w:rPr>
                <w:rFonts w:cs="Times New Roman"/>
                <w:sz w:val="21"/>
                <w:szCs w:val="21"/>
              </w:rPr>
            </w:pPr>
          </w:p>
        </w:tc>
      </w:tr>
      <w:tr w14:paraId="3171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AAC43E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7</w:t>
            </w:r>
          </w:p>
        </w:tc>
        <w:tc>
          <w:tcPr>
            <w:tcW w:w="5245" w:type="dxa"/>
          </w:tcPr>
          <w:p w14:paraId="6DB4FF9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铜陵朝阳凤丹专业合作社</w:t>
            </w:r>
          </w:p>
        </w:tc>
        <w:tc>
          <w:tcPr>
            <w:tcW w:w="1780" w:type="dxa"/>
            <w:vAlign w:val="center"/>
          </w:tcPr>
          <w:p w14:paraId="53BDBFBC">
            <w:pPr>
              <w:pStyle w:val="5"/>
              <w:adjustRightInd w:val="0"/>
              <w:snapToGrid w:val="0"/>
              <w:spacing w:before="0" w:beforeLines="0" w:after="0" w:afterLines="0" w:line="240" w:lineRule="auto"/>
              <w:ind w:firstLine="0" w:firstLineChars="0"/>
              <w:jc w:val="center"/>
              <w:rPr>
                <w:rFonts w:cs="Times New Roman"/>
                <w:sz w:val="21"/>
                <w:szCs w:val="21"/>
              </w:rPr>
            </w:pPr>
          </w:p>
        </w:tc>
      </w:tr>
      <w:tr w14:paraId="44DD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6EC749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8</w:t>
            </w:r>
          </w:p>
        </w:tc>
        <w:tc>
          <w:tcPr>
            <w:tcW w:w="5245" w:type="dxa"/>
          </w:tcPr>
          <w:p w14:paraId="18426BB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铜陵县园芳牡丹种植专业合作社</w:t>
            </w:r>
          </w:p>
        </w:tc>
        <w:tc>
          <w:tcPr>
            <w:tcW w:w="1780" w:type="dxa"/>
            <w:vAlign w:val="center"/>
          </w:tcPr>
          <w:p w14:paraId="472A8280">
            <w:pPr>
              <w:pStyle w:val="5"/>
              <w:adjustRightInd w:val="0"/>
              <w:snapToGrid w:val="0"/>
              <w:spacing w:before="0" w:beforeLines="0" w:after="0" w:afterLines="0" w:line="240" w:lineRule="auto"/>
              <w:ind w:firstLine="0" w:firstLineChars="0"/>
              <w:jc w:val="center"/>
              <w:rPr>
                <w:rFonts w:cs="Times New Roman"/>
                <w:sz w:val="21"/>
                <w:szCs w:val="21"/>
              </w:rPr>
            </w:pPr>
          </w:p>
        </w:tc>
      </w:tr>
      <w:tr w14:paraId="136EA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77BF8FD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9</w:t>
            </w:r>
          </w:p>
        </w:tc>
        <w:tc>
          <w:tcPr>
            <w:tcW w:w="5245" w:type="dxa"/>
          </w:tcPr>
          <w:p w14:paraId="0AFE3D9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铜陵丹利生丹皮种植专业合作社</w:t>
            </w:r>
          </w:p>
        </w:tc>
        <w:tc>
          <w:tcPr>
            <w:tcW w:w="1780" w:type="dxa"/>
            <w:vAlign w:val="center"/>
          </w:tcPr>
          <w:p w14:paraId="568DA7E4">
            <w:pPr>
              <w:pStyle w:val="5"/>
              <w:adjustRightInd w:val="0"/>
              <w:snapToGrid w:val="0"/>
              <w:spacing w:before="0" w:beforeLines="0" w:after="0" w:afterLines="0" w:line="240" w:lineRule="auto"/>
              <w:ind w:firstLine="0" w:firstLineChars="0"/>
              <w:jc w:val="center"/>
              <w:rPr>
                <w:rFonts w:cs="Times New Roman"/>
                <w:sz w:val="21"/>
                <w:szCs w:val="21"/>
              </w:rPr>
            </w:pPr>
          </w:p>
        </w:tc>
      </w:tr>
      <w:tr w14:paraId="4E0D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1819A78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10</w:t>
            </w:r>
          </w:p>
        </w:tc>
        <w:tc>
          <w:tcPr>
            <w:tcW w:w="5245" w:type="dxa"/>
          </w:tcPr>
          <w:p w14:paraId="2B3C096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铜陵相思凤丹专业合作社</w:t>
            </w:r>
          </w:p>
        </w:tc>
        <w:tc>
          <w:tcPr>
            <w:tcW w:w="1780" w:type="dxa"/>
            <w:vAlign w:val="center"/>
          </w:tcPr>
          <w:p w14:paraId="3942ADAF">
            <w:pPr>
              <w:pStyle w:val="5"/>
              <w:adjustRightInd w:val="0"/>
              <w:snapToGrid w:val="0"/>
              <w:spacing w:before="0" w:beforeLines="0" w:after="0" w:afterLines="0" w:line="240" w:lineRule="auto"/>
              <w:ind w:firstLine="0" w:firstLineChars="0"/>
              <w:jc w:val="center"/>
              <w:rPr>
                <w:rFonts w:cs="Times New Roman"/>
                <w:sz w:val="21"/>
                <w:szCs w:val="21"/>
              </w:rPr>
            </w:pPr>
          </w:p>
        </w:tc>
      </w:tr>
      <w:tr w14:paraId="52B3A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4ACAD4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11</w:t>
            </w:r>
          </w:p>
        </w:tc>
        <w:tc>
          <w:tcPr>
            <w:tcW w:w="5245" w:type="dxa"/>
          </w:tcPr>
          <w:p w14:paraId="6F805CB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铜陵玉凤中药材种植专业合作社</w:t>
            </w:r>
          </w:p>
        </w:tc>
        <w:tc>
          <w:tcPr>
            <w:tcW w:w="1780" w:type="dxa"/>
            <w:vAlign w:val="center"/>
          </w:tcPr>
          <w:p w14:paraId="2A712C0D">
            <w:pPr>
              <w:pStyle w:val="5"/>
              <w:adjustRightInd w:val="0"/>
              <w:snapToGrid w:val="0"/>
              <w:spacing w:before="0" w:beforeLines="0" w:after="0" w:afterLines="0" w:line="240" w:lineRule="auto"/>
              <w:ind w:firstLine="0" w:firstLineChars="0"/>
              <w:jc w:val="center"/>
              <w:rPr>
                <w:rFonts w:cs="Times New Roman"/>
                <w:sz w:val="21"/>
                <w:szCs w:val="21"/>
              </w:rPr>
            </w:pPr>
          </w:p>
        </w:tc>
      </w:tr>
      <w:tr w14:paraId="681A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520BBD0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12</w:t>
            </w:r>
          </w:p>
        </w:tc>
        <w:tc>
          <w:tcPr>
            <w:tcW w:w="5245" w:type="dxa"/>
          </w:tcPr>
          <w:p w14:paraId="2760C5B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铜陵朱家山花卉苗木专业合作社</w:t>
            </w:r>
          </w:p>
        </w:tc>
        <w:tc>
          <w:tcPr>
            <w:tcW w:w="1780" w:type="dxa"/>
            <w:vAlign w:val="center"/>
          </w:tcPr>
          <w:p w14:paraId="468E9C9B">
            <w:pPr>
              <w:pStyle w:val="5"/>
              <w:adjustRightInd w:val="0"/>
              <w:snapToGrid w:val="0"/>
              <w:spacing w:before="0" w:beforeLines="0" w:after="0" w:afterLines="0" w:line="240" w:lineRule="auto"/>
              <w:ind w:firstLine="0" w:firstLineChars="0"/>
              <w:jc w:val="center"/>
              <w:rPr>
                <w:rFonts w:cs="Times New Roman"/>
                <w:sz w:val="21"/>
                <w:szCs w:val="21"/>
              </w:rPr>
            </w:pPr>
          </w:p>
        </w:tc>
      </w:tr>
      <w:tr w14:paraId="284EA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58F405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13</w:t>
            </w:r>
          </w:p>
        </w:tc>
        <w:tc>
          <w:tcPr>
            <w:tcW w:w="5245" w:type="dxa"/>
          </w:tcPr>
          <w:p w14:paraId="43A5661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铜陵紫银牡丹专业合作社</w:t>
            </w:r>
          </w:p>
        </w:tc>
        <w:tc>
          <w:tcPr>
            <w:tcW w:w="1780" w:type="dxa"/>
            <w:vAlign w:val="center"/>
          </w:tcPr>
          <w:p w14:paraId="3B4A3136">
            <w:pPr>
              <w:pStyle w:val="5"/>
              <w:adjustRightInd w:val="0"/>
              <w:snapToGrid w:val="0"/>
              <w:spacing w:before="0" w:beforeLines="0" w:after="0" w:afterLines="0" w:line="240" w:lineRule="auto"/>
              <w:ind w:firstLine="0" w:firstLineChars="0"/>
              <w:jc w:val="center"/>
              <w:rPr>
                <w:rFonts w:cs="Times New Roman"/>
                <w:sz w:val="21"/>
                <w:szCs w:val="21"/>
              </w:rPr>
            </w:pPr>
          </w:p>
        </w:tc>
      </w:tr>
      <w:tr w14:paraId="28EC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CA605F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14</w:t>
            </w:r>
          </w:p>
        </w:tc>
        <w:tc>
          <w:tcPr>
            <w:tcW w:w="5245" w:type="dxa"/>
          </w:tcPr>
          <w:p w14:paraId="383EAFA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铜陵县青龙山土地流转专业合作社</w:t>
            </w:r>
          </w:p>
        </w:tc>
        <w:tc>
          <w:tcPr>
            <w:tcW w:w="1780" w:type="dxa"/>
            <w:vAlign w:val="center"/>
          </w:tcPr>
          <w:p w14:paraId="57E5E0C0">
            <w:pPr>
              <w:pStyle w:val="5"/>
              <w:adjustRightInd w:val="0"/>
              <w:snapToGrid w:val="0"/>
              <w:spacing w:before="0" w:beforeLines="0" w:after="0" w:afterLines="0" w:line="240" w:lineRule="auto"/>
              <w:ind w:firstLine="0" w:firstLineChars="0"/>
              <w:jc w:val="center"/>
              <w:rPr>
                <w:rFonts w:cs="Times New Roman"/>
                <w:sz w:val="21"/>
                <w:szCs w:val="21"/>
              </w:rPr>
            </w:pPr>
          </w:p>
        </w:tc>
      </w:tr>
      <w:tr w14:paraId="1860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4484C8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15</w:t>
            </w:r>
          </w:p>
        </w:tc>
        <w:tc>
          <w:tcPr>
            <w:tcW w:w="5245" w:type="dxa"/>
          </w:tcPr>
          <w:p w14:paraId="64ACD4C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铜陵华艺牡丹专业合作社</w:t>
            </w:r>
          </w:p>
        </w:tc>
        <w:tc>
          <w:tcPr>
            <w:tcW w:w="1780" w:type="dxa"/>
            <w:vAlign w:val="center"/>
          </w:tcPr>
          <w:p w14:paraId="556B81D3">
            <w:pPr>
              <w:pStyle w:val="5"/>
              <w:adjustRightInd w:val="0"/>
              <w:snapToGrid w:val="0"/>
              <w:spacing w:before="0" w:beforeLines="0" w:after="0" w:afterLines="0" w:line="240" w:lineRule="auto"/>
              <w:ind w:firstLine="0" w:firstLineChars="0"/>
              <w:jc w:val="center"/>
              <w:rPr>
                <w:rFonts w:cs="Times New Roman"/>
                <w:sz w:val="21"/>
                <w:szCs w:val="21"/>
              </w:rPr>
            </w:pPr>
          </w:p>
        </w:tc>
      </w:tr>
      <w:tr w14:paraId="19A57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45CD512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16</w:t>
            </w:r>
          </w:p>
        </w:tc>
        <w:tc>
          <w:tcPr>
            <w:tcW w:w="5245" w:type="dxa"/>
          </w:tcPr>
          <w:p w14:paraId="70AE9EF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铜陵县金丹牡丹专业合作社</w:t>
            </w:r>
          </w:p>
        </w:tc>
        <w:tc>
          <w:tcPr>
            <w:tcW w:w="1780" w:type="dxa"/>
            <w:vAlign w:val="center"/>
          </w:tcPr>
          <w:p w14:paraId="7614DE6A">
            <w:pPr>
              <w:pStyle w:val="5"/>
              <w:adjustRightInd w:val="0"/>
              <w:snapToGrid w:val="0"/>
              <w:spacing w:before="0" w:beforeLines="0" w:after="0" w:afterLines="0" w:line="240" w:lineRule="auto"/>
              <w:ind w:firstLine="0" w:firstLineChars="0"/>
              <w:jc w:val="center"/>
              <w:rPr>
                <w:rFonts w:cs="Times New Roman"/>
                <w:sz w:val="21"/>
                <w:szCs w:val="21"/>
              </w:rPr>
            </w:pPr>
          </w:p>
        </w:tc>
      </w:tr>
      <w:tr w14:paraId="0A8F0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7C07DC0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17</w:t>
            </w:r>
          </w:p>
        </w:tc>
        <w:tc>
          <w:tcPr>
            <w:tcW w:w="5245" w:type="dxa"/>
          </w:tcPr>
          <w:p w14:paraId="5491F57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铜陵县为民土地流转专业合作社</w:t>
            </w:r>
          </w:p>
        </w:tc>
        <w:tc>
          <w:tcPr>
            <w:tcW w:w="1780" w:type="dxa"/>
            <w:vAlign w:val="center"/>
          </w:tcPr>
          <w:p w14:paraId="7E8334D7">
            <w:pPr>
              <w:pStyle w:val="5"/>
              <w:adjustRightInd w:val="0"/>
              <w:snapToGrid w:val="0"/>
              <w:spacing w:before="0" w:beforeLines="0" w:after="0" w:afterLines="0" w:line="240" w:lineRule="auto"/>
              <w:ind w:firstLine="0" w:firstLineChars="0"/>
              <w:jc w:val="center"/>
              <w:rPr>
                <w:rFonts w:cs="Times New Roman"/>
                <w:sz w:val="21"/>
                <w:szCs w:val="21"/>
              </w:rPr>
            </w:pPr>
          </w:p>
        </w:tc>
      </w:tr>
      <w:tr w14:paraId="5E51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2D410B6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18</w:t>
            </w:r>
          </w:p>
        </w:tc>
        <w:tc>
          <w:tcPr>
            <w:tcW w:w="5245" w:type="dxa"/>
          </w:tcPr>
          <w:p w14:paraId="335FA2F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铜陵东联农民专业合作社联合社</w:t>
            </w:r>
          </w:p>
        </w:tc>
        <w:tc>
          <w:tcPr>
            <w:tcW w:w="1780" w:type="dxa"/>
            <w:vAlign w:val="center"/>
          </w:tcPr>
          <w:p w14:paraId="76FCE108">
            <w:pPr>
              <w:pStyle w:val="5"/>
              <w:adjustRightInd w:val="0"/>
              <w:snapToGrid w:val="0"/>
              <w:spacing w:before="0" w:beforeLines="0" w:after="0" w:afterLines="0" w:line="240" w:lineRule="auto"/>
              <w:ind w:firstLine="0" w:firstLineChars="0"/>
              <w:jc w:val="center"/>
              <w:rPr>
                <w:rFonts w:cs="Times New Roman"/>
                <w:sz w:val="21"/>
                <w:szCs w:val="21"/>
              </w:rPr>
            </w:pPr>
          </w:p>
        </w:tc>
      </w:tr>
      <w:tr w14:paraId="7849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7E29A7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19</w:t>
            </w:r>
          </w:p>
        </w:tc>
        <w:tc>
          <w:tcPr>
            <w:tcW w:w="5245" w:type="dxa"/>
          </w:tcPr>
          <w:p w14:paraId="1B4BA67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铜陵厚田农业专业合作社</w:t>
            </w:r>
          </w:p>
        </w:tc>
        <w:tc>
          <w:tcPr>
            <w:tcW w:w="1780" w:type="dxa"/>
            <w:vAlign w:val="center"/>
          </w:tcPr>
          <w:p w14:paraId="403CD1CE">
            <w:pPr>
              <w:pStyle w:val="5"/>
              <w:adjustRightInd w:val="0"/>
              <w:snapToGrid w:val="0"/>
              <w:spacing w:before="0" w:beforeLines="0" w:after="0" w:afterLines="0" w:line="240" w:lineRule="auto"/>
              <w:ind w:firstLine="0" w:firstLineChars="0"/>
              <w:jc w:val="center"/>
              <w:rPr>
                <w:rFonts w:cs="Times New Roman"/>
                <w:sz w:val="21"/>
                <w:szCs w:val="21"/>
              </w:rPr>
            </w:pPr>
          </w:p>
        </w:tc>
      </w:tr>
      <w:tr w14:paraId="7E53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3"/>
            <w:vAlign w:val="center"/>
          </w:tcPr>
          <w:p w14:paraId="3E347AB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b/>
                <w:bCs/>
                <w:sz w:val="21"/>
                <w:szCs w:val="21"/>
              </w:rPr>
              <w:t>协会联盟（4家）</w:t>
            </w:r>
          </w:p>
        </w:tc>
      </w:tr>
      <w:tr w14:paraId="225A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636D861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5245" w:type="dxa"/>
          </w:tcPr>
          <w:p w14:paraId="7BBF2A0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安徽省牡丹协会</w:t>
            </w:r>
          </w:p>
        </w:tc>
        <w:tc>
          <w:tcPr>
            <w:tcW w:w="1780" w:type="dxa"/>
            <w:vAlign w:val="center"/>
          </w:tcPr>
          <w:p w14:paraId="6FBC356B">
            <w:pPr>
              <w:pStyle w:val="5"/>
              <w:adjustRightInd w:val="0"/>
              <w:snapToGrid w:val="0"/>
              <w:spacing w:before="0" w:beforeLines="0" w:after="0" w:afterLines="0" w:line="240" w:lineRule="auto"/>
              <w:ind w:firstLine="0" w:firstLineChars="0"/>
              <w:jc w:val="center"/>
              <w:rPr>
                <w:rFonts w:cs="Times New Roman"/>
                <w:sz w:val="21"/>
                <w:szCs w:val="21"/>
              </w:rPr>
            </w:pPr>
          </w:p>
        </w:tc>
      </w:tr>
      <w:tr w14:paraId="14EA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1EB04DA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5245" w:type="dxa"/>
          </w:tcPr>
          <w:p w14:paraId="6CA0B25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安徽凤丹产业技术创新战略联盟</w:t>
            </w:r>
          </w:p>
        </w:tc>
        <w:tc>
          <w:tcPr>
            <w:tcW w:w="1780" w:type="dxa"/>
            <w:vAlign w:val="center"/>
          </w:tcPr>
          <w:p w14:paraId="6BE6EBA1">
            <w:pPr>
              <w:pStyle w:val="5"/>
              <w:adjustRightInd w:val="0"/>
              <w:snapToGrid w:val="0"/>
              <w:spacing w:before="0" w:beforeLines="0" w:after="0" w:afterLines="0" w:line="240" w:lineRule="auto"/>
              <w:ind w:firstLine="0" w:firstLineChars="0"/>
              <w:jc w:val="center"/>
              <w:rPr>
                <w:rFonts w:cs="Times New Roman"/>
                <w:sz w:val="21"/>
                <w:szCs w:val="21"/>
              </w:rPr>
            </w:pPr>
          </w:p>
        </w:tc>
      </w:tr>
      <w:tr w14:paraId="103F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795D74B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5245" w:type="dxa"/>
          </w:tcPr>
          <w:p w14:paraId="1154628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铜陵市牡丹产业联合会</w:t>
            </w:r>
          </w:p>
        </w:tc>
        <w:tc>
          <w:tcPr>
            <w:tcW w:w="1780" w:type="dxa"/>
            <w:vAlign w:val="center"/>
          </w:tcPr>
          <w:p w14:paraId="6D55D100">
            <w:pPr>
              <w:pStyle w:val="5"/>
              <w:adjustRightInd w:val="0"/>
              <w:snapToGrid w:val="0"/>
              <w:spacing w:before="0" w:beforeLines="0" w:after="0" w:afterLines="0" w:line="240" w:lineRule="auto"/>
              <w:ind w:firstLine="0" w:firstLineChars="0"/>
              <w:jc w:val="center"/>
              <w:rPr>
                <w:rFonts w:cs="Times New Roman"/>
                <w:sz w:val="21"/>
                <w:szCs w:val="21"/>
              </w:rPr>
            </w:pPr>
          </w:p>
        </w:tc>
      </w:tr>
      <w:tr w14:paraId="1618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1" w:type="dxa"/>
            <w:vAlign w:val="center"/>
          </w:tcPr>
          <w:p w14:paraId="000E4F1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5245" w:type="dxa"/>
          </w:tcPr>
          <w:p w14:paraId="3FFE06DE">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铜陵市义安区牡丹产业协会</w:t>
            </w:r>
          </w:p>
        </w:tc>
        <w:tc>
          <w:tcPr>
            <w:tcW w:w="1780" w:type="dxa"/>
            <w:vAlign w:val="center"/>
          </w:tcPr>
          <w:p w14:paraId="0F5A4BBE">
            <w:pPr>
              <w:pStyle w:val="5"/>
              <w:adjustRightInd w:val="0"/>
              <w:snapToGrid w:val="0"/>
              <w:spacing w:before="0" w:beforeLines="0" w:after="0" w:afterLines="0" w:line="240" w:lineRule="auto"/>
              <w:ind w:firstLine="0" w:firstLineChars="0"/>
              <w:jc w:val="center"/>
              <w:rPr>
                <w:rFonts w:cs="Times New Roman"/>
                <w:sz w:val="21"/>
                <w:szCs w:val="21"/>
              </w:rPr>
            </w:pPr>
          </w:p>
        </w:tc>
      </w:tr>
    </w:tbl>
    <w:p w14:paraId="4D2FC1E9">
      <w:pPr>
        <w:pStyle w:val="5"/>
        <w:spacing w:before="217" w:after="217"/>
        <w:ind w:firstLine="640"/>
        <w:rPr>
          <w:rFonts w:cs="Times New Roman"/>
        </w:rPr>
      </w:pPr>
      <w:r>
        <w:rPr>
          <w:rFonts w:hint="eastAsia" w:cs="Times New Roman"/>
        </w:rPr>
        <w:t>近年来，铜陵凤丹产业取得了长远发展，初步形成了以药用、食用、保健、日化、观赏等多功能发展格局，但也存在一定的不足和问题。第一，全市凤丹产业发展能级还比较低，主要以凤丹籽、凤丹皮等初级产品为主，丹皮酚等提取物、保健食品、中成药等精深加工产品相对比较薄弱，且产业链精深加工环节单产品单企业支撑特点突出；第二，受限于土地、政策等因素，凤丹种植面积逐年缩小，做大做强凤丹产业的基础原料支撑不足，同时也无法形成一定的规模效应；第三，凤丹产业新型经营主体数量和质量有待进一步提升，尤其是丹皮酚、精深加工企业数量，同时缺乏具有强劲带动力和引领性的链主企业、龙头企业、科技型企业；第四，科技支撑赋能凤丹产业高质量发展作用亟需加强，尤其在种质资源保护开发利用、凤丹关键核心技术攻关等方面科技创新成果较少、科技成果转移转化较弱，且缺乏产业公共服务平台、重点实验室等高能级创新平台；第五，铜陵凤丹品牌价值未充分发挥，品牌知名度高但产品质价不符的现象一直存在，要进一步规范地理标志保护产品、区域公用品牌等使用、管理、宣传；第六，凤丹元素在城市建设、环境美化、城市礼物开发、重大赛事奖牌设计等领域融合开发应用不足，凤丹精神、市花文化等挖掘、宣传不够，亟需将“凤丹之乡”打造成全市除“世界铜都”之外的另一个城市名片。</w:t>
      </w:r>
    </w:p>
    <w:p w14:paraId="43C0E993">
      <w:pPr>
        <w:pStyle w:val="5"/>
        <w:spacing w:before="217" w:after="217"/>
        <w:ind w:firstLine="640"/>
        <w:rPr>
          <w:rFonts w:cs="Times New Roman"/>
        </w:rPr>
      </w:pPr>
      <w:r>
        <w:rPr>
          <w:rFonts w:hint="eastAsia" w:cs="Times New Roman"/>
        </w:rPr>
        <w:t>新时代，为进一步推进凤丹产业高质量发展，亟需系统谋划凤丹产业发展思路、定位、目标、路径、举措等，充分放大本地优势特色的基础上聚力解决凤丹产业发展的核心矛盾，推进凤丹产业快速、高质、多元、融合发展，进一步擦亮</w:t>
      </w:r>
      <w:r>
        <w:rPr>
          <w:rFonts w:cs="Times New Roman"/>
        </w:rPr>
        <w:t>“</w:t>
      </w:r>
      <w:r>
        <w:rPr>
          <w:rFonts w:hint="eastAsia" w:cs="Times New Roman"/>
        </w:rPr>
        <w:t>铜陵凤丹</w:t>
      </w:r>
      <w:r>
        <w:rPr>
          <w:rFonts w:cs="Times New Roman"/>
        </w:rPr>
        <w:t>”</w:t>
      </w:r>
      <w:r>
        <w:rPr>
          <w:rFonts w:hint="eastAsia" w:cs="Times New Roman"/>
        </w:rPr>
        <w:t>金字招牌。</w:t>
      </w:r>
    </w:p>
    <w:p w14:paraId="2F12590F">
      <w:pPr>
        <w:pStyle w:val="3"/>
        <w:spacing w:before="217" w:after="217"/>
        <w:ind w:firstLine="643"/>
        <w:rPr>
          <w:rFonts w:cs="Times New Roman"/>
          <w:b/>
          <w:bCs w:val="0"/>
        </w:rPr>
      </w:pPr>
      <w:bookmarkStart w:id="27" w:name="_Toc180074416"/>
      <w:r>
        <w:rPr>
          <w:rFonts w:cs="Times New Roman"/>
          <w:b/>
          <w:bCs w:val="0"/>
        </w:rPr>
        <w:t>三、凤丹产业发展机遇与挑战</w:t>
      </w:r>
      <w:bookmarkEnd w:id="27"/>
    </w:p>
    <w:p w14:paraId="19EBA6F7">
      <w:pPr>
        <w:pStyle w:val="4"/>
        <w:rPr>
          <w:rFonts w:cs="Times New Roman"/>
        </w:rPr>
      </w:pPr>
      <w:bookmarkStart w:id="28" w:name="_Toc180074417"/>
      <w:bookmarkStart w:id="29" w:name="_Toc180020967"/>
      <w:r>
        <w:rPr>
          <w:rFonts w:cs="Times New Roman"/>
        </w:rPr>
        <w:t>1、整体政策导向为凤丹产业发展提供了重大发展机遇，但政策条款的动态调整增添了一定的不确定</w:t>
      </w:r>
      <w:bookmarkEnd w:id="28"/>
      <w:bookmarkEnd w:id="29"/>
    </w:p>
    <w:p w14:paraId="6124892E">
      <w:pPr>
        <w:pStyle w:val="5"/>
        <w:spacing w:before="217" w:after="217"/>
        <w:ind w:firstLine="640"/>
        <w:rPr>
          <w:rFonts w:cs="Times New Roman"/>
        </w:rPr>
      </w:pPr>
      <w:r>
        <w:rPr>
          <w:rFonts w:cs="Times New Roman"/>
        </w:rPr>
        <w:t>党的十八大以来，以习近平同志为核心的党中央坚持把解决好“三农”问题作为全党工作的重中之重，习近平总书记指出：“发展特色产业是实现乡村振兴的一条重要途径”。十二五、十三五期间，国家相继出台了关于加快木本油料产业的规划、意见、政策等，发布牡丹籽油国家标准，各省市快速跟进规划发展牡丹产业，极大促进了牡丹产业发展。十四五期间，</w:t>
      </w:r>
      <w:r>
        <w:rPr>
          <w:rFonts w:hint="eastAsia" w:cs="Times New Roman"/>
        </w:rPr>
        <w:t>国务院办公厅印发《“十四五”中医药发展规划》（国办发〔2022〕5号）、《中医药振兴发展重大工程实施方案》（国办发〔2023〕3号）等政策文件，重点围绕中药种植、生产、使用全过程，推进中药质量提升及中药产业高质量发展；</w:t>
      </w:r>
      <w:r>
        <w:rPr>
          <w:rFonts w:cs="Times New Roman"/>
        </w:rPr>
        <w:t>安徽省提出大力发展特色农林产品，建设皖西南山区道地药材生产基地，实施木本油料建设工程和林业特色产业工程；铜陵市提出重点推进包括凤丹产业在内的“七个一”特色产业高质量发展，加强凤丹原种产地保护、挖掘凤丹多重价值，以“凤丹地标文化”带动特色产业发展；义安区出台了《关于支持凤丹种植扶持政策实施方案》新一轮支持政策，这为凤丹产业带来了重大发展机遇。但是，近年来随着相关政策的动态调整，牡丹（凤丹）被省林业局剔除出《安徽省主要乡土树种名录》、牡丹（凤丹）未被列入省政府出台的《关于推进木本油料产业发展若干措施》中，且</w:t>
      </w:r>
      <w:bookmarkStart w:id="30" w:name="OLE_LINK2"/>
      <w:r>
        <w:rPr>
          <w:rFonts w:hint="eastAsia" w:cs="Times New Roman"/>
        </w:rPr>
        <w:t>《</w:t>
      </w:r>
      <w:r>
        <w:rPr>
          <w:rFonts w:cs="Times New Roman"/>
        </w:rPr>
        <w:t>铜陵市油用牡丹产业</w:t>
      </w:r>
      <w:r>
        <w:rPr>
          <w:rFonts w:hint="eastAsia" w:cs="Times New Roman"/>
        </w:rPr>
        <w:t>发展</w:t>
      </w:r>
      <w:r>
        <w:rPr>
          <w:rFonts w:cs="Times New Roman"/>
        </w:rPr>
        <w:t>规划</w:t>
      </w:r>
      <w:r>
        <w:rPr>
          <w:rFonts w:hint="eastAsia" w:cs="Times New Roman"/>
        </w:rPr>
        <w:t>（2013—2022年）》</w:t>
      </w:r>
      <w:bookmarkEnd w:id="30"/>
      <w:r>
        <w:rPr>
          <w:rFonts w:hint="eastAsia" w:cs="Times New Roman"/>
        </w:rPr>
        <w:t>及</w:t>
      </w:r>
      <w:r>
        <w:rPr>
          <w:rFonts w:cs="Times New Roman"/>
        </w:rPr>
        <w:t>支持政策已失效，这为凤丹产业发展增添了一定的不确定性，亟需出台支持凤丹产业发展的规划、政策文件等，营造产业发展的良好政策环境。</w:t>
      </w:r>
    </w:p>
    <w:p w14:paraId="560438C8">
      <w:pPr>
        <w:pStyle w:val="4"/>
        <w:rPr>
          <w:rFonts w:cs="Times New Roman"/>
        </w:rPr>
      </w:pPr>
      <w:bookmarkStart w:id="31" w:name="_Toc180020968"/>
      <w:bookmarkStart w:id="32" w:name="_Toc180074418"/>
      <w:r>
        <w:rPr>
          <w:rFonts w:cs="Times New Roman"/>
        </w:rPr>
        <w:t>2、国内外大市场为凤丹产业发展提供了强大拉动作用，但丹皮产品的价格波动影响了种植的积极性</w:t>
      </w:r>
      <w:bookmarkEnd w:id="31"/>
      <w:bookmarkEnd w:id="32"/>
    </w:p>
    <w:p w14:paraId="0C9F1FE2">
      <w:pPr>
        <w:pStyle w:val="5"/>
        <w:spacing w:before="217" w:after="217"/>
        <w:ind w:firstLine="640"/>
        <w:rPr>
          <w:rFonts w:cs="Times New Roman"/>
        </w:rPr>
      </w:pPr>
      <w:r>
        <w:rPr>
          <w:rFonts w:cs="Times New Roman"/>
        </w:rPr>
        <w:t>随着健康中国战略的不断深入，大健康产业相关的药品、保健</w:t>
      </w:r>
      <w:r>
        <w:rPr>
          <w:rFonts w:hint="eastAsia" w:cs="Times New Roman"/>
        </w:rPr>
        <w:t>食品</w:t>
      </w:r>
      <w:r>
        <w:rPr>
          <w:rFonts w:cs="Times New Roman"/>
        </w:rPr>
        <w:t>、休闲食品、康养旅游等产品服务快速发展。凤丹集药用、</w:t>
      </w:r>
      <w:r>
        <w:rPr>
          <w:rFonts w:hint="eastAsia" w:cs="Times New Roman"/>
        </w:rPr>
        <w:t>食用</w:t>
      </w:r>
      <w:r>
        <w:rPr>
          <w:rFonts w:cs="Times New Roman"/>
        </w:rPr>
        <w:t>、观赏等多种功能为一体，具有功能复合、产业融合等先天优势，其根、茎、叶、花、丹皮等在药品、保健</w:t>
      </w:r>
      <w:r>
        <w:rPr>
          <w:rFonts w:hint="eastAsia" w:cs="Times New Roman"/>
        </w:rPr>
        <w:t>食品</w:t>
      </w:r>
      <w:r>
        <w:rPr>
          <w:rFonts w:cs="Times New Roman"/>
        </w:rPr>
        <w:t>等领域大有可为，且随着药食同源产品逐步向即食化、即饮化、零食化方向发展，下游市场将进一步扩大。同时，铜陵市提出实施长三角绿色农产品生产加工供应基地建设“158”行动计划、深度参与“一带一路”建设，为凤丹等特色农产品进入长三角市场、走出国门提供了广阔市场空间。但是，牡丹皮市场价格波动较大，据亳州中药材商品交易中心、药通网等数据，铜陵统货牡丹皮2010年基本维持在4.4万元/吨左右，2011年上涨到7.6万元/吨左右，然后一路下跌到2020年的3万元/吨以下水平，近年来又开始逆势上扬， 2024年达到15万元/吨水平，</w:t>
      </w:r>
      <w:r>
        <w:rPr>
          <w:rFonts w:hint="eastAsia" w:cs="Times New Roman"/>
        </w:rPr>
        <w:t>牡丹皮价格的波动</w:t>
      </w:r>
      <w:r>
        <w:rPr>
          <w:rFonts w:cs="Times New Roman"/>
        </w:rPr>
        <w:t>极大影响了凤丹种植户的积极性，加之近年来种植成本上升，为凤丹产业发展带来了不小的挑战，亟需丰富凤丹产业产品体系，以此对冲丹皮价格波动带来的影响。</w:t>
      </w:r>
    </w:p>
    <w:p w14:paraId="5C899232">
      <w:pPr>
        <w:pStyle w:val="4"/>
        <w:rPr>
          <w:rFonts w:cs="Times New Roman"/>
        </w:rPr>
      </w:pPr>
      <w:bookmarkStart w:id="33" w:name="_Toc180020969"/>
      <w:bookmarkStart w:id="34" w:name="_Toc180074419"/>
      <w:r>
        <w:rPr>
          <w:rFonts w:cs="Times New Roman"/>
        </w:rPr>
        <w:t>3、科学技术进步为凤丹产业发展提供了强大内生动力，但土地空间和种植成本制约了产业规模扩大</w:t>
      </w:r>
      <w:bookmarkEnd w:id="33"/>
      <w:bookmarkEnd w:id="34"/>
    </w:p>
    <w:p w14:paraId="7D49ED58">
      <w:pPr>
        <w:pStyle w:val="5"/>
        <w:spacing w:before="217" w:after="217"/>
        <w:ind w:firstLine="640"/>
        <w:rPr>
          <w:rFonts w:cs="Times New Roman"/>
        </w:rPr>
      </w:pPr>
      <w:r>
        <w:rPr>
          <w:rFonts w:cs="Times New Roman"/>
        </w:rPr>
        <w:t>农业科技是推动农业现代化的重要力量。习近平总书记指出：“农业现代化，关键是农业科技现代化。”近年来，铜陵坚持科教兴市战略，大力加强科技创新和成果转化应用，2023年全市农业科技进步贡献率达到66.5%，建成省级科技特派员工作站22个，启动“两强一增”研究院建设，建成凤丹相关市级以上创新平台3家、申报牡丹新品种3个，凤丹种质资源库建设、凤丹生产加工机械研制、凤丹精深加工关键核心技术攻关等持续推进，为全市凤丹产业高质量发展提供了强劲动能。但是，随着新一轮国土空间规划的实行，铜陵凤丹历史种植区域部分“一般耕地”划入“基本农田”，使本就适宜种植凤丹的耕地、林地等空间进一步压缩，加之凤凰山地区抛荒地流转难度大、成本高等因素，严重制约了凤丹产业种植规模扩增，同时碎片化的种植空间、传统种植模式也严重限制了农业机械、智能监测设备、物联网、大数据、人工智能、北斗导航等新技术的推广应用，科技创新这个第一生产力未真正实现引领凤丹产业发展，亟需在大农业观、大食物观的引领下，通过其他种植空间挖潜、新型种植模式探索、农业科技成果应用等，拓展凤丹种植空间、提升凤丹发展能级。</w:t>
      </w:r>
    </w:p>
    <w:p w14:paraId="72963E6E">
      <w:pPr>
        <w:pStyle w:val="2"/>
        <w:spacing w:before="217" w:after="217"/>
        <w:ind w:left="643" w:firstLine="0" w:firstLineChars="0"/>
        <w:rPr>
          <w:rFonts w:cs="Times New Roman"/>
        </w:rPr>
      </w:pPr>
      <w:bookmarkStart w:id="35" w:name="_Toc180074420"/>
      <w:r>
        <w:rPr>
          <w:rFonts w:cs="Times New Roman"/>
        </w:rPr>
        <w:t>第二章 发展思路与目标</w:t>
      </w:r>
      <w:bookmarkEnd w:id="35"/>
    </w:p>
    <w:p w14:paraId="08E5F415">
      <w:pPr>
        <w:pStyle w:val="3"/>
        <w:spacing w:before="217" w:after="217"/>
        <w:ind w:firstLine="643"/>
        <w:rPr>
          <w:rFonts w:cs="Times New Roman"/>
          <w:b/>
          <w:bCs w:val="0"/>
        </w:rPr>
      </w:pPr>
      <w:bookmarkStart w:id="36" w:name="_Toc180074421"/>
      <w:r>
        <w:rPr>
          <w:rFonts w:cs="Times New Roman"/>
          <w:b/>
          <w:bCs w:val="0"/>
        </w:rPr>
        <w:t>一、指导思想</w:t>
      </w:r>
      <w:bookmarkEnd w:id="36"/>
    </w:p>
    <w:p w14:paraId="78D16F51">
      <w:pPr>
        <w:pStyle w:val="5"/>
        <w:spacing w:before="217" w:after="217"/>
        <w:ind w:firstLine="640"/>
        <w:rPr>
          <w:rFonts w:cs="Times New Roman"/>
        </w:rPr>
      </w:pPr>
      <w:r>
        <w:rPr>
          <w:rFonts w:cs="Times New Roman"/>
        </w:rPr>
        <w:t>以习近平新时代中国特色社会主义思想为指导，</w:t>
      </w:r>
      <w:r>
        <w:rPr>
          <w:rFonts w:hint="eastAsia" w:cs="Times New Roman"/>
        </w:rPr>
        <w:t>深入贯彻落实</w:t>
      </w:r>
      <w:r>
        <w:rPr>
          <w:rFonts w:cs="Times New Roman"/>
        </w:rPr>
        <w:t>党的二十大</w:t>
      </w:r>
      <w:r>
        <w:rPr>
          <w:rFonts w:hint="eastAsia" w:cs="Times New Roman"/>
        </w:rPr>
        <w:t>和二十届一中、二中、三中全会精神，全</w:t>
      </w:r>
      <w:bookmarkStart w:id="129" w:name="_GoBack"/>
      <w:bookmarkEnd w:id="129"/>
      <w:r>
        <w:rPr>
          <w:rFonts w:hint="eastAsia" w:cs="Times New Roman"/>
        </w:rPr>
        <w:t>面学习领会</w:t>
      </w:r>
      <w:r>
        <w:rPr>
          <w:rFonts w:cs="Times New Roman"/>
        </w:rPr>
        <w:t>习近平总书记考察安徽重要讲话重要指示精神，完整准确全面贯彻新发展理念，深入全面推进乡村振兴战略，以推动高质量发展为主题，以改革创新为根本动力，围绕铜陵市“一区一地一样板”农业农村整体战略定位，锚定“一区四地”凤丹产业定位，立足铜陵凤丹种植历史、产业基础、品牌优势等，树立大国土观、大食物观和大农业观，</w:t>
      </w:r>
      <w:r>
        <w:rPr>
          <w:rFonts w:hint="eastAsia" w:cs="Times New Roman"/>
        </w:rPr>
        <w:t>深入</w:t>
      </w:r>
      <w:r>
        <w:rPr>
          <w:rFonts w:cs="Times New Roman"/>
        </w:rPr>
        <w:t>挖掘凤丹复合功能和多元价值，</w:t>
      </w:r>
      <w:r>
        <w:rPr>
          <w:rFonts w:hint="eastAsia" w:cs="Times New Roman"/>
        </w:rPr>
        <w:t>充分放大凤丹药用价值和精深加工环节对凤丹产业高质量发展的引领作用，</w:t>
      </w:r>
      <w:r>
        <w:rPr>
          <w:rFonts w:cs="Times New Roman"/>
        </w:rPr>
        <w:t>加快“产业凤丹、科技凤丹、品质凤丹、人文凤丹、生态凤丹”建设，推进凤丹产业扩规增量、延链补链、科技创新、质量提升、品牌建设、绿色转型、文化传承保护与开发利用等，擦亮新时代铜陵凤丹品牌，</w:t>
      </w:r>
      <w:bookmarkStart w:id="37" w:name="_Hlk173319135"/>
      <w:r>
        <w:rPr>
          <w:rFonts w:cs="Times New Roman"/>
        </w:rPr>
        <w:t>推进凤丹产业规模化、特色化、融合化、品牌化发展，</w:t>
      </w:r>
      <w:bookmarkEnd w:id="37"/>
      <w:r>
        <w:rPr>
          <w:rFonts w:cs="Times New Roman"/>
        </w:rPr>
        <w:t>将铜陵市打造成全国南方牡丹传承保护与高质量发展示范区，为全市构建“三生三美”农业农村现代化新发展格局和全省打造农业农村现代化“安徽样板”贡献力量。</w:t>
      </w:r>
    </w:p>
    <w:p w14:paraId="15A85E48">
      <w:pPr>
        <w:pStyle w:val="3"/>
        <w:spacing w:before="217" w:after="217"/>
        <w:ind w:firstLine="643"/>
        <w:rPr>
          <w:rFonts w:cs="Times New Roman"/>
          <w:b/>
          <w:bCs w:val="0"/>
        </w:rPr>
      </w:pPr>
      <w:bookmarkStart w:id="38" w:name="_Toc180074422"/>
      <w:r>
        <w:rPr>
          <w:rFonts w:cs="Times New Roman"/>
          <w:b/>
          <w:bCs w:val="0"/>
        </w:rPr>
        <w:t>二、基本原则</w:t>
      </w:r>
      <w:bookmarkEnd w:id="38"/>
    </w:p>
    <w:p w14:paraId="77359A56">
      <w:pPr>
        <w:pStyle w:val="5"/>
        <w:spacing w:before="217" w:after="217"/>
        <w:ind w:firstLine="643"/>
        <w:rPr>
          <w:rFonts w:cs="Times New Roman"/>
        </w:rPr>
      </w:pPr>
      <w:r>
        <w:rPr>
          <w:rFonts w:cs="Times New Roman"/>
          <w:b/>
          <w:bCs/>
        </w:rPr>
        <w:t>坚持有效市场和有为政府结合。</w:t>
      </w:r>
      <w:r>
        <w:rPr>
          <w:rFonts w:cs="Times New Roman"/>
        </w:rPr>
        <w:t>充分发挥市场在资源配置中的决定性作用，以市场需求为导向科学合理调整种植品种、生产规模、产品开发等，强化政府在产业发展宏观调控、基础设施、新型经营主体培育等方面的作用，减少对资源的直接配置、对微观经济活动的直接干预。</w:t>
      </w:r>
    </w:p>
    <w:p w14:paraId="5E6EDF8F">
      <w:pPr>
        <w:pStyle w:val="5"/>
        <w:spacing w:before="217" w:after="217"/>
        <w:ind w:firstLine="643"/>
        <w:rPr>
          <w:rFonts w:cs="Times New Roman"/>
        </w:rPr>
      </w:pPr>
      <w:r>
        <w:rPr>
          <w:rFonts w:cs="Times New Roman"/>
          <w:b/>
          <w:bCs/>
        </w:rPr>
        <w:t>坚持统筹谋划和分类推进结合。</w:t>
      </w:r>
      <w:r>
        <w:rPr>
          <w:rFonts w:cs="Times New Roman"/>
        </w:rPr>
        <w:t>科学把握产业培育和高质量发展要求内涵，系统谋划凤丹产业发展规模、产业业态、发展举措等，同时立足</w:t>
      </w:r>
      <w:r>
        <w:rPr>
          <w:rFonts w:hint="eastAsia" w:cs="Times New Roman"/>
        </w:rPr>
        <w:t>土</w:t>
      </w:r>
      <w:r>
        <w:rPr>
          <w:rFonts w:cs="Times New Roman"/>
        </w:rPr>
        <w:t>地条件、产业基础、种植习惯等差异性，保持历史耐心，因地制宜、分类推进不同区域、不同业态有序壮大发展。</w:t>
      </w:r>
    </w:p>
    <w:p w14:paraId="5E8356C6">
      <w:pPr>
        <w:spacing w:before="217" w:after="217"/>
        <w:ind w:firstLine="643"/>
        <w:rPr>
          <w:rFonts w:cs="Times New Roman"/>
        </w:rPr>
      </w:pPr>
      <w:r>
        <w:rPr>
          <w:rFonts w:cs="Times New Roman"/>
          <w:b/>
          <w:bCs/>
        </w:rPr>
        <w:t>坚持科技创新和产业融合结合</w:t>
      </w:r>
      <w:r>
        <w:rPr>
          <w:rFonts w:cs="Times New Roman"/>
        </w:rPr>
        <w:t>。加快科技创新对凤丹产业全产业链环节赋能，推进凤丹种质资源保护、新品种培育、农机装备研发应用、数字化改造等，充分发挥凤丹药用、</w:t>
      </w:r>
      <w:r>
        <w:rPr>
          <w:rFonts w:hint="eastAsia" w:cs="Times New Roman"/>
        </w:rPr>
        <w:t>食用</w:t>
      </w:r>
      <w:r>
        <w:rPr>
          <w:rFonts w:cs="Times New Roman"/>
        </w:rPr>
        <w:t>、观赏等功能，加强花卉培植、功能食品、药品、化妆品、饲料产品、文创文娱等业态发展，建立企业、合作社、农户等紧密利益联结机制，以全产业融合发展带动农民增收致富。</w:t>
      </w:r>
    </w:p>
    <w:p w14:paraId="6FA4E45C">
      <w:pPr>
        <w:spacing w:before="217" w:after="217"/>
        <w:ind w:firstLine="643"/>
        <w:rPr>
          <w:rFonts w:cs="Times New Roman"/>
        </w:rPr>
      </w:pPr>
      <w:r>
        <w:rPr>
          <w:rFonts w:cs="Times New Roman"/>
          <w:b/>
          <w:bCs/>
        </w:rPr>
        <w:t>坚持品质至上和品牌响亮结合</w:t>
      </w:r>
      <w:r>
        <w:rPr>
          <w:rFonts w:cs="Times New Roman"/>
        </w:rPr>
        <w:t>。深入实施质量兴农、品牌强农战略，统筹推进凤丹生产和产品“三品一标”建设，建立健全凤丹标准体系、检验检测体系、质量认证体系等，完善地理标志产品、区域公用品牌等使用规范，加强绿色、有机、“皖美农品”企业品牌和产品品牌培育创建，以高品质、亮品牌提升助力凤丹产业高质量发展。</w:t>
      </w:r>
    </w:p>
    <w:p w14:paraId="23D995FC">
      <w:pPr>
        <w:spacing w:before="217" w:after="217"/>
        <w:ind w:firstLine="643"/>
        <w:rPr>
          <w:rFonts w:cs="Times New Roman"/>
        </w:rPr>
      </w:pPr>
      <w:r>
        <w:rPr>
          <w:rFonts w:cs="Times New Roman"/>
          <w:b/>
          <w:bCs/>
        </w:rPr>
        <w:t>坚持生态优先和绿色发展结合</w:t>
      </w:r>
      <w:r>
        <w:rPr>
          <w:rFonts w:cs="Times New Roman"/>
        </w:rPr>
        <w:t>。全面践行生态文明理念，充分挖掘凤丹在矿山修复、生态绿化、城市美化等领域的潜力和价值，积极探索生态产品价值实现路径，同时创新凤丹轮作、套作、间作等种植模式，推行集约化、清洁化、标准化生产方式，推进化肥、农药等投入品减量替代，推广绿色防控技术，实现生态保护与产业发展同频共振、协调发展。</w:t>
      </w:r>
    </w:p>
    <w:p w14:paraId="6D5BA210">
      <w:pPr>
        <w:pStyle w:val="3"/>
        <w:spacing w:before="217" w:after="217"/>
        <w:ind w:firstLine="643"/>
        <w:rPr>
          <w:rFonts w:cs="Times New Roman"/>
          <w:b/>
          <w:bCs w:val="0"/>
        </w:rPr>
      </w:pPr>
      <w:bookmarkStart w:id="39" w:name="_Toc180074423"/>
      <w:r>
        <w:rPr>
          <w:rFonts w:cs="Times New Roman"/>
          <w:b/>
          <w:bCs w:val="0"/>
        </w:rPr>
        <w:t>三、产业定位</w:t>
      </w:r>
      <w:bookmarkEnd w:id="39"/>
    </w:p>
    <w:p w14:paraId="6F651E85">
      <w:pPr>
        <w:pStyle w:val="5"/>
        <w:spacing w:before="217" w:after="217"/>
        <w:ind w:firstLine="640"/>
        <w:rPr>
          <w:rFonts w:cs="Times New Roman"/>
        </w:rPr>
      </w:pPr>
      <w:r>
        <w:rPr>
          <w:rFonts w:cs="Times New Roman"/>
        </w:rPr>
        <w:t>立足铜陵市凤丹产业基础，以创新驱动、融合促进产业发展，加强种质资源保护、文化遗产传承、全产业链培育、业态融合发展等，全力将铜陵市打造成全国南方牡丹传承保护与高质量发展示范区，建设全国南方牡丹种质资源保护基地、全国南方牡丹科技创新示范基地、全国南方牡丹产业融合示范基地、全国南方牡丹文化交流示范基地，以“一区四地”新定位引领凤丹产业高质量发展。</w:t>
      </w:r>
    </w:p>
    <w:p w14:paraId="1550C4F0">
      <w:pPr>
        <w:pStyle w:val="5"/>
        <w:spacing w:before="217" w:after="217"/>
        <w:ind w:firstLine="643"/>
        <w:rPr>
          <w:rFonts w:cs="Times New Roman"/>
        </w:rPr>
      </w:pPr>
      <w:r>
        <w:rPr>
          <w:rFonts w:cs="Times New Roman"/>
          <w:b/>
          <w:bCs/>
        </w:rPr>
        <w:t>总体定位：全国南方牡丹传承保护与</w:t>
      </w:r>
      <w:bookmarkStart w:id="40" w:name="_Hlk173258399"/>
      <w:r>
        <w:rPr>
          <w:rFonts w:cs="Times New Roman"/>
          <w:b/>
          <w:bCs/>
        </w:rPr>
        <w:t>高质量</w:t>
      </w:r>
      <w:bookmarkEnd w:id="40"/>
      <w:r>
        <w:rPr>
          <w:rFonts w:cs="Times New Roman"/>
          <w:b/>
          <w:bCs/>
        </w:rPr>
        <w:t>发展示范区。</w:t>
      </w:r>
      <w:r>
        <w:rPr>
          <w:rFonts w:cs="Times New Roman"/>
        </w:rPr>
        <w:t>充分放大铜陵市牡丹原生地之一优势，坚持保护中创新发展原则，加强凤丹种质资源保护、全面恢复凤丹历史地位、拓展凤丹多元复合功能、补齐产业链条短板和弱项、提升产业能级和综合竞争力，以“五个凤丹”建设行动全面推进铜陵市打造全国南方牡丹传承保护与高质量发展示范区。</w:t>
      </w:r>
    </w:p>
    <w:p w14:paraId="5BA4787C">
      <w:pPr>
        <w:pStyle w:val="5"/>
        <w:spacing w:before="217" w:after="217"/>
        <w:ind w:firstLine="643"/>
        <w:rPr>
          <w:rFonts w:cs="Times New Roman"/>
        </w:rPr>
      </w:pPr>
      <w:r>
        <w:rPr>
          <w:rFonts w:cs="Times New Roman"/>
          <w:b/>
          <w:bCs/>
        </w:rPr>
        <w:t>——全国南方牡丹种质资源保护基地。</w:t>
      </w:r>
      <w:r>
        <w:rPr>
          <w:rFonts w:cs="Times New Roman"/>
        </w:rPr>
        <w:t>立足凤丹牡丹，完善铜陵市凤凰山凤丹省级林草种质资源库建设，强化本地凤丹品种保护、改良、扩繁，建设药用、</w:t>
      </w:r>
      <w:r>
        <w:rPr>
          <w:rFonts w:hint="eastAsia" w:cs="Times New Roman"/>
        </w:rPr>
        <w:t>食用、</w:t>
      </w:r>
      <w:r>
        <w:rPr>
          <w:rFonts w:cs="Times New Roman"/>
        </w:rPr>
        <w:t>观赏等不同用途南方牡丹种苗繁育、测试基地，引进、收集、保育适合江南生长的牡丹品种资源，全面打造国家级南方牡丹种质资源保护基地。</w:t>
      </w:r>
    </w:p>
    <w:p w14:paraId="4E3970E9">
      <w:pPr>
        <w:pStyle w:val="5"/>
        <w:spacing w:before="217" w:after="217"/>
        <w:ind w:firstLine="643"/>
        <w:rPr>
          <w:rFonts w:cs="Times New Roman"/>
        </w:rPr>
      </w:pPr>
      <w:r>
        <w:rPr>
          <w:rFonts w:cs="Times New Roman"/>
          <w:b/>
          <w:bCs/>
        </w:rPr>
        <w:t>——全国南方牡丹科技创新示范基地。</w:t>
      </w:r>
      <w:r>
        <w:rPr>
          <w:rFonts w:cs="Times New Roman"/>
        </w:rPr>
        <w:t>立足凤丹牡丹，重点依托铜陵国家农业科技园区，完善中科院中国南方牡丹科研基地、凤丹产业技术研究院、科技小院等科技创新平台和产业服务平台建设，深化产学研合作，推进凤丹关键核心技术研发攻关及新品种、新技术、新装备等先进适用技术应用推广，完善基层农机推广体系改革与建设，全面建设全国南方牡丹科技创新示范基地。</w:t>
      </w:r>
    </w:p>
    <w:p w14:paraId="0CAD89EB">
      <w:pPr>
        <w:pStyle w:val="5"/>
        <w:spacing w:before="217" w:after="217"/>
        <w:ind w:firstLine="643"/>
        <w:rPr>
          <w:rFonts w:cs="Times New Roman"/>
        </w:rPr>
      </w:pPr>
      <w:r>
        <w:rPr>
          <w:rFonts w:cs="Times New Roman"/>
          <w:b/>
          <w:bCs/>
        </w:rPr>
        <w:t>——全国南方牡丹产业融合示范基地。</w:t>
      </w:r>
      <w:r>
        <w:rPr>
          <w:rFonts w:cs="Times New Roman"/>
        </w:rPr>
        <w:t>立足凤丹牡丹，以凤丹全产业链建设为核心抓手，以“凤丹+”为核心发展理念，推进相关产业跨界融合、产业链上下游协同，加快种植面积扩规、精深加工补链、文旅融合提质，重点强化凤丹精深产品加工和相关功能食品、中医药、化妆品产业壮大，以“强一接二连三”促进全国南方牡丹产业融合示范基地建设。</w:t>
      </w:r>
    </w:p>
    <w:p w14:paraId="7890A5BA">
      <w:pPr>
        <w:pStyle w:val="5"/>
        <w:spacing w:before="217" w:after="217"/>
        <w:ind w:firstLine="643"/>
        <w:rPr>
          <w:rFonts w:cs="Times New Roman"/>
        </w:rPr>
      </w:pPr>
      <w:r>
        <w:rPr>
          <w:rFonts w:cs="Times New Roman"/>
          <w:b/>
          <w:bCs/>
        </w:rPr>
        <w:t>——</w:t>
      </w:r>
      <w:bookmarkStart w:id="41" w:name="_Hlk172290696"/>
      <w:r>
        <w:rPr>
          <w:rFonts w:cs="Times New Roman"/>
          <w:b/>
          <w:bCs/>
        </w:rPr>
        <w:t>全国南方牡丹文化交流示范基地</w:t>
      </w:r>
      <w:bookmarkEnd w:id="41"/>
      <w:r>
        <w:rPr>
          <w:rFonts w:cs="Times New Roman"/>
          <w:b/>
          <w:bCs/>
        </w:rPr>
        <w:t>。</w:t>
      </w:r>
      <w:r>
        <w:rPr>
          <w:rFonts w:cs="Times New Roman"/>
        </w:rPr>
        <w:t>立足凤丹牡丹，充分挖掘凤丹相关历史文化、人文记载、诗歌戏曲、美食文化、学术价值等非物质文化遗产内涵，放大“铜陵义安凤丹栽培系统”农业文化遗产影响力，加快构建覆盖文创产品、文化演艺、文化旅游、节会展会、学术研讨等产品服务体系，全面建设全国南方牡丹文化交流示范基地。</w:t>
      </w:r>
    </w:p>
    <w:p w14:paraId="6032DAF6">
      <w:pPr>
        <w:pStyle w:val="3"/>
        <w:spacing w:before="217" w:after="217"/>
        <w:ind w:firstLine="643"/>
        <w:rPr>
          <w:rFonts w:cs="Times New Roman"/>
          <w:b/>
          <w:bCs w:val="0"/>
        </w:rPr>
      </w:pPr>
      <w:bookmarkStart w:id="42" w:name="_Toc180074424"/>
      <w:r>
        <w:rPr>
          <w:rFonts w:cs="Times New Roman"/>
          <w:b/>
          <w:bCs w:val="0"/>
        </w:rPr>
        <w:t>四、发展目标</w:t>
      </w:r>
      <w:bookmarkEnd w:id="42"/>
    </w:p>
    <w:p w14:paraId="1A06FC17">
      <w:pPr>
        <w:pStyle w:val="5"/>
        <w:spacing w:before="217" w:after="217"/>
        <w:ind w:firstLine="640"/>
        <w:rPr>
          <w:rFonts w:cs="Times New Roman"/>
        </w:rPr>
      </w:pPr>
      <w:r>
        <w:rPr>
          <w:rFonts w:cs="Times New Roman"/>
        </w:rPr>
        <w:t>按照重点突出、分阶段推进的总体思路，以“有链强链、缺链补链、上下延链”组合拳全力打造一二三产融合发展的现代高效凤丹产业体系，实现凤丹产业规模化、特色化、融合化、品牌化发展。</w:t>
      </w:r>
    </w:p>
    <w:p w14:paraId="1901C757">
      <w:pPr>
        <w:pStyle w:val="5"/>
        <w:spacing w:before="217" w:after="217"/>
        <w:ind w:firstLine="640"/>
        <w:rPr>
          <w:rFonts w:cs="Times New Roman"/>
        </w:rPr>
      </w:pPr>
      <w:r>
        <w:rPr>
          <w:rFonts w:cs="Times New Roman"/>
        </w:rPr>
        <w:t>——到202</w:t>
      </w:r>
      <w:r>
        <w:rPr>
          <w:rFonts w:hint="eastAsia" w:cs="Times New Roman"/>
        </w:rPr>
        <w:t>7</w:t>
      </w:r>
      <w:r>
        <w:rPr>
          <w:rFonts w:cs="Times New Roman"/>
        </w:rPr>
        <w:t>年，以“补短板、强弱项”为核心，加快推进种植面积快速恢复、种苗供应能力不断提升、反季节盆栽及鲜切花实现突破、丹皮产量稳步增长、新型经营主体快速增加、科技赋能作用进一步凸显、品牌保护与应用体系基本建立、“两品一标”农产品实现快速增长，基本形成结构合理、链条完善、技术先进、装备优良、组织高效、经营主体集约、生产方式绿色、产品市场繁荣的一二三产融合发展的凤丹现代产业体系、生产体系和经营体系，凤丹种植面积达到2万亩左右，凤丹种苗供应能力达到2000万株，丹皮产量超4000吨，凤丹产业全产业链产值超10亿元。</w:t>
      </w:r>
    </w:p>
    <w:p w14:paraId="744904EE">
      <w:pPr>
        <w:pStyle w:val="5"/>
        <w:spacing w:before="217" w:after="217"/>
        <w:ind w:firstLine="640"/>
        <w:rPr>
          <w:rFonts w:cs="Times New Roman"/>
        </w:rPr>
      </w:pPr>
      <w:r>
        <w:rPr>
          <w:rFonts w:cs="Times New Roman"/>
        </w:rPr>
        <w:t>——到2030年，凤丹现代产业体系建设完善，凤丹精深加工规模快速增长，中成药、功能食品、化妆品、日化用品等凤丹精深加工成为带动凤丹高质量发展的核心，反季节盆栽及鲜切花产量突破300万盆（支），凤丹产业全产业链产值达到30亿元，南方牡丹基因库建设完成，凤丹产业基础设施配套健全完善、科技创新平台高效高质，区域公用品牌、凤丹文旅IP形成全国影响力，“铜陵义安凤丹栽培系统”入选全球重要农业文化遗产名录，全国南方牡丹传承保护与高质量发展示范区初步建成。</w:t>
      </w:r>
    </w:p>
    <w:p w14:paraId="304F24BC">
      <w:pPr>
        <w:pStyle w:val="5"/>
        <w:spacing w:before="217" w:after="217"/>
        <w:ind w:firstLine="640"/>
        <w:rPr>
          <w:rFonts w:cs="Times New Roman"/>
        </w:rPr>
      </w:pPr>
      <w:r>
        <w:rPr>
          <w:rFonts w:cs="Times New Roman"/>
        </w:rPr>
        <w:t>——到2035年，凤丹产业形成集品种选育、凤丹种植、精深加工、文创文娱开发、农旅融合为一体的产业集群，全产业链产值突破50亿元，铜陵成为我国基地规模最大、产业产品最全、创新能力最强、人才最集聚的南方牡丹产业中心。</w:t>
      </w:r>
    </w:p>
    <w:p w14:paraId="674106F4">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表2-1 铜陵市凤丹产业中长期发展指标体系</w:t>
      </w:r>
    </w:p>
    <w:tbl>
      <w:tblPr>
        <w:tblStyle w:val="14"/>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2678"/>
        <w:gridCol w:w="957"/>
        <w:gridCol w:w="1296"/>
        <w:gridCol w:w="967"/>
        <w:gridCol w:w="967"/>
        <w:gridCol w:w="916"/>
      </w:tblGrid>
      <w:tr w14:paraId="424E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44B4A37F">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序号</w:t>
            </w:r>
          </w:p>
        </w:tc>
        <w:tc>
          <w:tcPr>
            <w:tcW w:w="2678" w:type="dxa"/>
            <w:vAlign w:val="center"/>
          </w:tcPr>
          <w:p w14:paraId="60F10558">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指标名称</w:t>
            </w:r>
          </w:p>
        </w:tc>
        <w:tc>
          <w:tcPr>
            <w:tcW w:w="957" w:type="dxa"/>
            <w:vAlign w:val="center"/>
          </w:tcPr>
          <w:p w14:paraId="1966E261">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单位</w:t>
            </w:r>
          </w:p>
        </w:tc>
        <w:tc>
          <w:tcPr>
            <w:tcW w:w="1296" w:type="dxa"/>
            <w:vAlign w:val="center"/>
          </w:tcPr>
          <w:p w14:paraId="1B075BD0">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202</w:t>
            </w:r>
            <w:r>
              <w:rPr>
                <w:rFonts w:hint="eastAsia" w:cs="Times New Roman"/>
                <w:b/>
                <w:bCs/>
                <w:sz w:val="24"/>
              </w:rPr>
              <w:t>4</w:t>
            </w:r>
            <w:r>
              <w:rPr>
                <w:rFonts w:cs="Times New Roman"/>
                <w:b/>
                <w:bCs/>
                <w:sz w:val="24"/>
              </w:rPr>
              <w:t>年</w:t>
            </w:r>
            <w:r>
              <w:rPr>
                <w:rFonts w:cs="Times New Roman"/>
                <w:b/>
                <w:bCs/>
                <w:sz w:val="21"/>
                <w:szCs w:val="21"/>
              </w:rPr>
              <w:t>（基期）</w:t>
            </w:r>
          </w:p>
        </w:tc>
        <w:tc>
          <w:tcPr>
            <w:tcW w:w="967" w:type="dxa"/>
            <w:vAlign w:val="center"/>
          </w:tcPr>
          <w:p w14:paraId="0459F35D">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202</w:t>
            </w:r>
            <w:r>
              <w:rPr>
                <w:rFonts w:hint="eastAsia" w:cs="Times New Roman"/>
                <w:b/>
                <w:bCs/>
                <w:sz w:val="24"/>
              </w:rPr>
              <w:t>7</w:t>
            </w:r>
            <w:r>
              <w:rPr>
                <w:rFonts w:cs="Times New Roman"/>
                <w:b/>
                <w:bCs/>
                <w:sz w:val="24"/>
              </w:rPr>
              <w:t>年</w:t>
            </w:r>
          </w:p>
        </w:tc>
        <w:tc>
          <w:tcPr>
            <w:tcW w:w="967" w:type="dxa"/>
            <w:vAlign w:val="center"/>
          </w:tcPr>
          <w:p w14:paraId="09D9DE20">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2030年</w:t>
            </w:r>
          </w:p>
        </w:tc>
        <w:tc>
          <w:tcPr>
            <w:tcW w:w="916" w:type="dxa"/>
            <w:vAlign w:val="center"/>
          </w:tcPr>
          <w:p w14:paraId="062B32F7">
            <w:pPr>
              <w:pStyle w:val="5"/>
              <w:adjustRightInd w:val="0"/>
              <w:snapToGrid w:val="0"/>
              <w:spacing w:before="0" w:beforeLines="0" w:after="0" w:afterLines="0" w:line="240" w:lineRule="auto"/>
              <w:ind w:firstLine="0" w:firstLineChars="0"/>
              <w:jc w:val="center"/>
              <w:rPr>
                <w:rFonts w:cs="Times New Roman"/>
                <w:b/>
                <w:bCs/>
                <w:sz w:val="24"/>
              </w:rPr>
            </w:pPr>
            <w:r>
              <w:rPr>
                <w:rFonts w:cs="Times New Roman"/>
                <w:b/>
                <w:bCs/>
                <w:sz w:val="24"/>
              </w:rPr>
              <w:t>2035年</w:t>
            </w:r>
          </w:p>
        </w:tc>
      </w:tr>
      <w:tr w14:paraId="71F7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6961660F">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w:t>
            </w:r>
          </w:p>
        </w:tc>
        <w:tc>
          <w:tcPr>
            <w:tcW w:w="2678" w:type="dxa"/>
            <w:vAlign w:val="center"/>
          </w:tcPr>
          <w:p w14:paraId="58953A9E">
            <w:pPr>
              <w:pStyle w:val="5"/>
              <w:adjustRightInd w:val="0"/>
              <w:snapToGrid w:val="0"/>
              <w:spacing w:before="0" w:beforeLines="0" w:after="0" w:afterLines="0" w:line="240" w:lineRule="auto"/>
              <w:ind w:firstLine="0" w:firstLineChars="0"/>
              <w:jc w:val="center"/>
              <w:rPr>
                <w:rFonts w:cs="Times New Roman"/>
                <w:sz w:val="24"/>
              </w:rPr>
            </w:pPr>
            <w:r>
              <w:rPr>
                <w:rFonts w:hint="eastAsia" w:cs="Times New Roman"/>
                <w:sz w:val="24"/>
              </w:rPr>
              <w:t>凤丹种植面积</w:t>
            </w:r>
          </w:p>
        </w:tc>
        <w:tc>
          <w:tcPr>
            <w:tcW w:w="957" w:type="dxa"/>
            <w:vAlign w:val="center"/>
          </w:tcPr>
          <w:p w14:paraId="6FF6B230">
            <w:pPr>
              <w:pStyle w:val="5"/>
              <w:adjustRightInd w:val="0"/>
              <w:snapToGrid w:val="0"/>
              <w:spacing w:before="0" w:beforeLines="0" w:after="0" w:afterLines="0" w:line="240" w:lineRule="auto"/>
              <w:ind w:firstLine="0" w:firstLineChars="0"/>
              <w:jc w:val="center"/>
              <w:rPr>
                <w:rFonts w:cs="Times New Roman"/>
                <w:sz w:val="24"/>
              </w:rPr>
            </w:pPr>
            <w:r>
              <w:rPr>
                <w:rFonts w:hint="eastAsia" w:cs="Times New Roman"/>
                <w:sz w:val="24"/>
              </w:rPr>
              <w:t>亩</w:t>
            </w:r>
          </w:p>
        </w:tc>
        <w:tc>
          <w:tcPr>
            <w:tcW w:w="1296" w:type="dxa"/>
            <w:vAlign w:val="center"/>
          </w:tcPr>
          <w:p w14:paraId="661EBFC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5000</w:t>
            </w:r>
          </w:p>
        </w:tc>
        <w:tc>
          <w:tcPr>
            <w:tcW w:w="967" w:type="dxa"/>
            <w:vAlign w:val="center"/>
          </w:tcPr>
          <w:p w14:paraId="44AFA46F">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20000</w:t>
            </w:r>
          </w:p>
        </w:tc>
        <w:tc>
          <w:tcPr>
            <w:tcW w:w="967" w:type="dxa"/>
            <w:vAlign w:val="center"/>
          </w:tcPr>
          <w:p w14:paraId="21441530">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40000</w:t>
            </w:r>
          </w:p>
        </w:tc>
        <w:tc>
          <w:tcPr>
            <w:tcW w:w="916" w:type="dxa"/>
            <w:vAlign w:val="center"/>
          </w:tcPr>
          <w:p w14:paraId="4BED8444">
            <w:pPr>
              <w:pStyle w:val="5"/>
              <w:adjustRightInd w:val="0"/>
              <w:snapToGrid w:val="0"/>
              <w:spacing w:before="0" w:beforeLines="0" w:after="0" w:afterLines="0" w:line="240" w:lineRule="auto"/>
              <w:ind w:firstLine="0" w:firstLineChars="0"/>
              <w:jc w:val="center"/>
              <w:rPr>
                <w:rFonts w:cs="Times New Roman"/>
                <w:sz w:val="24"/>
              </w:rPr>
            </w:pPr>
            <w:r>
              <w:rPr>
                <w:rFonts w:hint="eastAsia" w:cs="Times New Roman"/>
                <w:sz w:val="24"/>
              </w:rPr>
              <w:t>保持</w:t>
            </w:r>
            <w:r>
              <w:rPr>
                <w:rFonts w:cs="Times New Roman"/>
                <w:sz w:val="24"/>
              </w:rPr>
              <w:t>40000</w:t>
            </w:r>
          </w:p>
        </w:tc>
      </w:tr>
      <w:tr w14:paraId="069C8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50B95A0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w:t>
            </w:r>
          </w:p>
        </w:tc>
        <w:tc>
          <w:tcPr>
            <w:tcW w:w="2678" w:type="dxa"/>
            <w:vAlign w:val="center"/>
          </w:tcPr>
          <w:p w14:paraId="71BEC4C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凤丹种苗供应量</w:t>
            </w:r>
          </w:p>
        </w:tc>
        <w:tc>
          <w:tcPr>
            <w:tcW w:w="957" w:type="dxa"/>
            <w:vAlign w:val="center"/>
          </w:tcPr>
          <w:p w14:paraId="3E90267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万株</w:t>
            </w:r>
          </w:p>
        </w:tc>
        <w:tc>
          <w:tcPr>
            <w:tcW w:w="1296" w:type="dxa"/>
            <w:vAlign w:val="center"/>
          </w:tcPr>
          <w:p w14:paraId="3B2170B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967" w:type="dxa"/>
            <w:vAlign w:val="center"/>
          </w:tcPr>
          <w:p w14:paraId="0CEEC8A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2000</w:t>
            </w:r>
          </w:p>
        </w:tc>
        <w:tc>
          <w:tcPr>
            <w:tcW w:w="967" w:type="dxa"/>
            <w:vAlign w:val="center"/>
          </w:tcPr>
          <w:p w14:paraId="3F942E72">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5000</w:t>
            </w:r>
          </w:p>
        </w:tc>
        <w:tc>
          <w:tcPr>
            <w:tcW w:w="916" w:type="dxa"/>
            <w:vAlign w:val="center"/>
          </w:tcPr>
          <w:p w14:paraId="32C6905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r>
      <w:tr w14:paraId="5A3A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3D8EE26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w:t>
            </w:r>
          </w:p>
        </w:tc>
        <w:tc>
          <w:tcPr>
            <w:tcW w:w="2678" w:type="dxa"/>
            <w:vAlign w:val="center"/>
          </w:tcPr>
          <w:p w14:paraId="2F6A70A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反季节盆栽及鲜切花</w:t>
            </w:r>
          </w:p>
          <w:p w14:paraId="2D90D54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产量</w:t>
            </w:r>
          </w:p>
        </w:tc>
        <w:tc>
          <w:tcPr>
            <w:tcW w:w="957" w:type="dxa"/>
            <w:vAlign w:val="center"/>
          </w:tcPr>
          <w:p w14:paraId="2853A7D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万盆（支）</w:t>
            </w:r>
          </w:p>
        </w:tc>
        <w:tc>
          <w:tcPr>
            <w:tcW w:w="1296" w:type="dxa"/>
            <w:vAlign w:val="center"/>
          </w:tcPr>
          <w:p w14:paraId="2C59C34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967" w:type="dxa"/>
            <w:vAlign w:val="center"/>
          </w:tcPr>
          <w:p w14:paraId="0AA5908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967" w:type="dxa"/>
            <w:vAlign w:val="center"/>
          </w:tcPr>
          <w:p w14:paraId="0CA55532">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300</w:t>
            </w:r>
          </w:p>
        </w:tc>
        <w:tc>
          <w:tcPr>
            <w:tcW w:w="916" w:type="dxa"/>
            <w:vAlign w:val="center"/>
          </w:tcPr>
          <w:p w14:paraId="3DC218B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r>
      <w:tr w14:paraId="358A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1B9BC4C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w:t>
            </w:r>
          </w:p>
        </w:tc>
        <w:tc>
          <w:tcPr>
            <w:tcW w:w="2678" w:type="dxa"/>
            <w:vAlign w:val="center"/>
          </w:tcPr>
          <w:p w14:paraId="41D9193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丹皮产量</w:t>
            </w:r>
          </w:p>
        </w:tc>
        <w:tc>
          <w:tcPr>
            <w:tcW w:w="957" w:type="dxa"/>
            <w:vAlign w:val="center"/>
          </w:tcPr>
          <w:p w14:paraId="40A9A77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吨</w:t>
            </w:r>
          </w:p>
        </w:tc>
        <w:tc>
          <w:tcPr>
            <w:tcW w:w="1296" w:type="dxa"/>
            <w:vAlign w:val="center"/>
          </w:tcPr>
          <w:p w14:paraId="478AD24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2000</w:t>
            </w:r>
          </w:p>
        </w:tc>
        <w:tc>
          <w:tcPr>
            <w:tcW w:w="967" w:type="dxa"/>
            <w:vAlign w:val="center"/>
          </w:tcPr>
          <w:p w14:paraId="33B0E6C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4000</w:t>
            </w:r>
          </w:p>
        </w:tc>
        <w:tc>
          <w:tcPr>
            <w:tcW w:w="967" w:type="dxa"/>
            <w:vAlign w:val="center"/>
          </w:tcPr>
          <w:p w14:paraId="249207A2">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6000</w:t>
            </w:r>
          </w:p>
        </w:tc>
        <w:tc>
          <w:tcPr>
            <w:tcW w:w="916" w:type="dxa"/>
            <w:vAlign w:val="center"/>
          </w:tcPr>
          <w:p w14:paraId="113B933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r>
      <w:tr w14:paraId="46CB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1D8DC59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w:t>
            </w:r>
          </w:p>
        </w:tc>
        <w:tc>
          <w:tcPr>
            <w:tcW w:w="2678" w:type="dxa"/>
            <w:vAlign w:val="center"/>
          </w:tcPr>
          <w:p w14:paraId="62E26BC0">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全产业链产值</w:t>
            </w:r>
          </w:p>
        </w:tc>
        <w:tc>
          <w:tcPr>
            <w:tcW w:w="957" w:type="dxa"/>
            <w:vAlign w:val="center"/>
          </w:tcPr>
          <w:p w14:paraId="234C978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亿元</w:t>
            </w:r>
          </w:p>
        </w:tc>
        <w:tc>
          <w:tcPr>
            <w:tcW w:w="1296" w:type="dxa"/>
            <w:vAlign w:val="center"/>
          </w:tcPr>
          <w:p w14:paraId="4C5E6D7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3.5</w:t>
            </w:r>
          </w:p>
        </w:tc>
        <w:tc>
          <w:tcPr>
            <w:tcW w:w="967" w:type="dxa"/>
            <w:vAlign w:val="center"/>
          </w:tcPr>
          <w:p w14:paraId="5D9A2A0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w:t>
            </w:r>
          </w:p>
        </w:tc>
        <w:tc>
          <w:tcPr>
            <w:tcW w:w="967" w:type="dxa"/>
            <w:vAlign w:val="center"/>
          </w:tcPr>
          <w:p w14:paraId="7E4B001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30</w:t>
            </w:r>
          </w:p>
        </w:tc>
        <w:tc>
          <w:tcPr>
            <w:tcW w:w="916" w:type="dxa"/>
            <w:vAlign w:val="center"/>
          </w:tcPr>
          <w:p w14:paraId="1E4E8ED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50</w:t>
            </w:r>
          </w:p>
        </w:tc>
      </w:tr>
      <w:tr w14:paraId="761CC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7797086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6</w:t>
            </w:r>
          </w:p>
        </w:tc>
        <w:tc>
          <w:tcPr>
            <w:tcW w:w="2678" w:type="dxa"/>
            <w:vAlign w:val="center"/>
          </w:tcPr>
          <w:p w14:paraId="782B182F">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精深加工产品品种数量</w:t>
            </w:r>
          </w:p>
        </w:tc>
        <w:tc>
          <w:tcPr>
            <w:tcW w:w="957" w:type="dxa"/>
            <w:vAlign w:val="center"/>
          </w:tcPr>
          <w:p w14:paraId="284BB425">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个</w:t>
            </w:r>
          </w:p>
        </w:tc>
        <w:tc>
          <w:tcPr>
            <w:tcW w:w="1296" w:type="dxa"/>
            <w:vAlign w:val="center"/>
          </w:tcPr>
          <w:p w14:paraId="7B4AA6A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30</w:t>
            </w:r>
          </w:p>
        </w:tc>
        <w:tc>
          <w:tcPr>
            <w:tcW w:w="967" w:type="dxa"/>
            <w:vAlign w:val="center"/>
          </w:tcPr>
          <w:p w14:paraId="79E89C93">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40</w:t>
            </w:r>
          </w:p>
        </w:tc>
        <w:tc>
          <w:tcPr>
            <w:tcW w:w="967" w:type="dxa"/>
            <w:vAlign w:val="center"/>
          </w:tcPr>
          <w:p w14:paraId="6BCBA4E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60</w:t>
            </w:r>
          </w:p>
        </w:tc>
        <w:tc>
          <w:tcPr>
            <w:tcW w:w="916" w:type="dxa"/>
            <w:vAlign w:val="center"/>
          </w:tcPr>
          <w:p w14:paraId="7E82AC6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100</w:t>
            </w:r>
          </w:p>
        </w:tc>
      </w:tr>
      <w:tr w14:paraId="5EC1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4A15B7B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7</w:t>
            </w:r>
          </w:p>
        </w:tc>
        <w:tc>
          <w:tcPr>
            <w:tcW w:w="2678" w:type="dxa"/>
            <w:vAlign w:val="center"/>
          </w:tcPr>
          <w:p w14:paraId="3E3602F5">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产业技术创新平台及公共服务平台数量*</w:t>
            </w:r>
          </w:p>
        </w:tc>
        <w:tc>
          <w:tcPr>
            <w:tcW w:w="957" w:type="dxa"/>
            <w:vAlign w:val="center"/>
          </w:tcPr>
          <w:p w14:paraId="391C472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w:t>
            </w:r>
          </w:p>
        </w:tc>
        <w:tc>
          <w:tcPr>
            <w:tcW w:w="1296" w:type="dxa"/>
            <w:vAlign w:val="center"/>
          </w:tcPr>
          <w:p w14:paraId="0CE3387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w:t>
            </w:r>
          </w:p>
        </w:tc>
        <w:tc>
          <w:tcPr>
            <w:tcW w:w="967" w:type="dxa"/>
            <w:vAlign w:val="center"/>
          </w:tcPr>
          <w:p w14:paraId="03FA83D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w:t>
            </w:r>
          </w:p>
        </w:tc>
        <w:tc>
          <w:tcPr>
            <w:tcW w:w="967" w:type="dxa"/>
            <w:vAlign w:val="center"/>
          </w:tcPr>
          <w:p w14:paraId="3CA017E2">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8</w:t>
            </w:r>
          </w:p>
        </w:tc>
        <w:tc>
          <w:tcPr>
            <w:tcW w:w="916" w:type="dxa"/>
            <w:vAlign w:val="center"/>
          </w:tcPr>
          <w:p w14:paraId="64C117F5">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w:t>
            </w:r>
          </w:p>
        </w:tc>
      </w:tr>
      <w:tr w14:paraId="1448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2FA50FC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8</w:t>
            </w:r>
          </w:p>
        </w:tc>
        <w:tc>
          <w:tcPr>
            <w:tcW w:w="2678" w:type="dxa"/>
            <w:vAlign w:val="center"/>
          </w:tcPr>
          <w:p w14:paraId="6A5ADFE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凤丹高新技术企业数量</w:t>
            </w:r>
          </w:p>
        </w:tc>
        <w:tc>
          <w:tcPr>
            <w:tcW w:w="957" w:type="dxa"/>
            <w:vAlign w:val="center"/>
          </w:tcPr>
          <w:p w14:paraId="3B4C1A2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w:t>
            </w:r>
          </w:p>
        </w:tc>
        <w:tc>
          <w:tcPr>
            <w:tcW w:w="1296" w:type="dxa"/>
            <w:vAlign w:val="center"/>
          </w:tcPr>
          <w:p w14:paraId="7194FCD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w:t>
            </w:r>
          </w:p>
        </w:tc>
        <w:tc>
          <w:tcPr>
            <w:tcW w:w="967" w:type="dxa"/>
            <w:vAlign w:val="center"/>
          </w:tcPr>
          <w:p w14:paraId="7BB4FC20">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6</w:t>
            </w:r>
          </w:p>
        </w:tc>
        <w:tc>
          <w:tcPr>
            <w:tcW w:w="967" w:type="dxa"/>
            <w:vAlign w:val="center"/>
          </w:tcPr>
          <w:p w14:paraId="69395C05">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w:t>
            </w:r>
          </w:p>
        </w:tc>
        <w:tc>
          <w:tcPr>
            <w:tcW w:w="916" w:type="dxa"/>
            <w:vAlign w:val="center"/>
          </w:tcPr>
          <w:p w14:paraId="588C2A85">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20</w:t>
            </w:r>
          </w:p>
        </w:tc>
      </w:tr>
      <w:tr w14:paraId="5C7D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2B9D87F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9</w:t>
            </w:r>
          </w:p>
        </w:tc>
        <w:tc>
          <w:tcPr>
            <w:tcW w:w="2678" w:type="dxa"/>
            <w:vAlign w:val="center"/>
          </w:tcPr>
          <w:p w14:paraId="5576BBA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数字农业工厂数量</w:t>
            </w:r>
          </w:p>
        </w:tc>
        <w:tc>
          <w:tcPr>
            <w:tcW w:w="957" w:type="dxa"/>
            <w:vAlign w:val="center"/>
          </w:tcPr>
          <w:p w14:paraId="47096E6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w:t>
            </w:r>
          </w:p>
        </w:tc>
        <w:tc>
          <w:tcPr>
            <w:tcW w:w="1296" w:type="dxa"/>
            <w:vAlign w:val="center"/>
          </w:tcPr>
          <w:p w14:paraId="4FDD278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0</w:t>
            </w:r>
          </w:p>
        </w:tc>
        <w:tc>
          <w:tcPr>
            <w:tcW w:w="967" w:type="dxa"/>
            <w:vAlign w:val="center"/>
          </w:tcPr>
          <w:p w14:paraId="724161A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w:t>
            </w:r>
          </w:p>
        </w:tc>
        <w:tc>
          <w:tcPr>
            <w:tcW w:w="967" w:type="dxa"/>
            <w:vAlign w:val="center"/>
          </w:tcPr>
          <w:p w14:paraId="514BD25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w:t>
            </w:r>
          </w:p>
        </w:tc>
        <w:tc>
          <w:tcPr>
            <w:tcW w:w="916" w:type="dxa"/>
            <w:vAlign w:val="center"/>
          </w:tcPr>
          <w:p w14:paraId="64D1B79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8</w:t>
            </w:r>
          </w:p>
        </w:tc>
      </w:tr>
      <w:tr w14:paraId="587E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61DF23C3">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w:t>
            </w:r>
          </w:p>
        </w:tc>
        <w:tc>
          <w:tcPr>
            <w:tcW w:w="2678" w:type="dxa"/>
            <w:vAlign w:val="center"/>
          </w:tcPr>
          <w:p w14:paraId="486BE4B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市级以上龙头企业数量</w:t>
            </w:r>
          </w:p>
        </w:tc>
        <w:tc>
          <w:tcPr>
            <w:tcW w:w="957" w:type="dxa"/>
            <w:vAlign w:val="center"/>
          </w:tcPr>
          <w:p w14:paraId="6E329B32">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w:t>
            </w:r>
          </w:p>
        </w:tc>
        <w:tc>
          <w:tcPr>
            <w:tcW w:w="1296" w:type="dxa"/>
            <w:vAlign w:val="center"/>
          </w:tcPr>
          <w:p w14:paraId="2678AF0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12</w:t>
            </w:r>
          </w:p>
        </w:tc>
        <w:tc>
          <w:tcPr>
            <w:tcW w:w="967" w:type="dxa"/>
            <w:vAlign w:val="center"/>
          </w:tcPr>
          <w:p w14:paraId="7EDF355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15</w:t>
            </w:r>
          </w:p>
        </w:tc>
        <w:tc>
          <w:tcPr>
            <w:tcW w:w="967" w:type="dxa"/>
            <w:vAlign w:val="center"/>
          </w:tcPr>
          <w:p w14:paraId="540E6BB3">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22</w:t>
            </w:r>
          </w:p>
        </w:tc>
        <w:tc>
          <w:tcPr>
            <w:tcW w:w="916" w:type="dxa"/>
            <w:vAlign w:val="center"/>
          </w:tcPr>
          <w:p w14:paraId="4846A03F">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30</w:t>
            </w:r>
          </w:p>
        </w:tc>
      </w:tr>
      <w:tr w14:paraId="3A76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05EDC671">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11</w:t>
            </w:r>
          </w:p>
        </w:tc>
        <w:tc>
          <w:tcPr>
            <w:tcW w:w="2678" w:type="dxa"/>
            <w:vAlign w:val="center"/>
          </w:tcPr>
          <w:p w14:paraId="0DE29E1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农民专业合作社数量</w:t>
            </w:r>
          </w:p>
        </w:tc>
        <w:tc>
          <w:tcPr>
            <w:tcW w:w="957" w:type="dxa"/>
            <w:vAlign w:val="center"/>
          </w:tcPr>
          <w:p w14:paraId="49D7A54E">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w:t>
            </w:r>
          </w:p>
        </w:tc>
        <w:tc>
          <w:tcPr>
            <w:tcW w:w="1296" w:type="dxa"/>
            <w:vAlign w:val="center"/>
          </w:tcPr>
          <w:p w14:paraId="70ED901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19</w:t>
            </w:r>
          </w:p>
        </w:tc>
        <w:tc>
          <w:tcPr>
            <w:tcW w:w="967" w:type="dxa"/>
            <w:vAlign w:val="center"/>
          </w:tcPr>
          <w:p w14:paraId="64BD3AF0">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25</w:t>
            </w:r>
          </w:p>
        </w:tc>
        <w:tc>
          <w:tcPr>
            <w:tcW w:w="967" w:type="dxa"/>
            <w:vAlign w:val="center"/>
          </w:tcPr>
          <w:p w14:paraId="4A8AE3C7">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35</w:t>
            </w:r>
          </w:p>
        </w:tc>
        <w:tc>
          <w:tcPr>
            <w:tcW w:w="916" w:type="dxa"/>
            <w:vAlign w:val="center"/>
          </w:tcPr>
          <w:p w14:paraId="4D5113E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50</w:t>
            </w:r>
          </w:p>
        </w:tc>
      </w:tr>
      <w:tr w14:paraId="1A43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600144C3">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12</w:t>
            </w:r>
          </w:p>
        </w:tc>
        <w:tc>
          <w:tcPr>
            <w:tcW w:w="2678" w:type="dxa"/>
            <w:vAlign w:val="center"/>
          </w:tcPr>
          <w:p w14:paraId="2BB7E21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家庭农场数量</w:t>
            </w:r>
          </w:p>
        </w:tc>
        <w:tc>
          <w:tcPr>
            <w:tcW w:w="957" w:type="dxa"/>
            <w:vAlign w:val="center"/>
          </w:tcPr>
          <w:p w14:paraId="4869E38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家</w:t>
            </w:r>
          </w:p>
        </w:tc>
        <w:tc>
          <w:tcPr>
            <w:tcW w:w="1296" w:type="dxa"/>
            <w:vAlign w:val="center"/>
          </w:tcPr>
          <w:p w14:paraId="214B657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w:t>
            </w:r>
          </w:p>
        </w:tc>
        <w:tc>
          <w:tcPr>
            <w:tcW w:w="967" w:type="dxa"/>
            <w:vAlign w:val="center"/>
          </w:tcPr>
          <w:p w14:paraId="6480B73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15</w:t>
            </w:r>
          </w:p>
        </w:tc>
        <w:tc>
          <w:tcPr>
            <w:tcW w:w="967" w:type="dxa"/>
            <w:vAlign w:val="center"/>
          </w:tcPr>
          <w:p w14:paraId="39016DCE">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30</w:t>
            </w:r>
          </w:p>
        </w:tc>
        <w:tc>
          <w:tcPr>
            <w:tcW w:w="916" w:type="dxa"/>
            <w:vAlign w:val="center"/>
          </w:tcPr>
          <w:p w14:paraId="06DE53D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40</w:t>
            </w:r>
          </w:p>
        </w:tc>
      </w:tr>
      <w:tr w14:paraId="0B83D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4FE3170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13</w:t>
            </w:r>
          </w:p>
        </w:tc>
        <w:tc>
          <w:tcPr>
            <w:tcW w:w="2678" w:type="dxa"/>
            <w:vAlign w:val="center"/>
          </w:tcPr>
          <w:p w14:paraId="55F7FE6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耕种收机械化率</w:t>
            </w:r>
          </w:p>
        </w:tc>
        <w:tc>
          <w:tcPr>
            <w:tcW w:w="957" w:type="dxa"/>
            <w:vAlign w:val="center"/>
          </w:tcPr>
          <w:p w14:paraId="25E877F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1296" w:type="dxa"/>
            <w:vAlign w:val="center"/>
          </w:tcPr>
          <w:p w14:paraId="624FD6F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967" w:type="dxa"/>
            <w:vAlign w:val="center"/>
          </w:tcPr>
          <w:p w14:paraId="2BF6821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40</w:t>
            </w:r>
          </w:p>
        </w:tc>
        <w:tc>
          <w:tcPr>
            <w:tcW w:w="967" w:type="dxa"/>
            <w:vAlign w:val="center"/>
          </w:tcPr>
          <w:p w14:paraId="2AE9ADAF">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60</w:t>
            </w:r>
          </w:p>
        </w:tc>
        <w:tc>
          <w:tcPr>
            <w:tcW w:w="916" w:type="dxa"/>
            <w:vAlign w:val="center"/>
          </w:tcPr>
          <w:p w14:paraId="61B8D9AE">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80</w:t>
            </w:r>
          </w:p>
        </w:tc>
      </w:tr>
      <w:tr w14:paraId="3F31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5AE3056F">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14</w:t>
            </w:r>
          </w:p>
        </w:tc>
        <w:tc>
          <w:tcPr>
            <w:tcW w:w="2678" w:type="dxa"/>
            <w:vAlign w:val="center"/>
          </w:tcPr>
          <w:p w14:paraId="525456F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有机食品和绿色农产品认证数量</w:t>
            </w:r>
          </w:p>
        </w:tc>
        <w:tc>
          <w:tcPr>
            <w:tcW w:w="957" w:type="dxa"/>
            <w:vAlign w:val="center"/>
          </w:tcPr>
          <w:p w14:paraId="0899A4FE">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个</w:t>
            </w:r>
          </w:p>
        </w:tc>
        <w:tc>
          <w:tcPr>
            <w:tcW w:w="1296" w:type="dxa"/>
            <w:vAlign w:val="center"/>
          </w:tcPr>
          <w:p w14:paraId="095B548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w:t>
            </w:r>
          </w:p>
        </w:tc>
        <w:tc>
          <w:tcPr>
            <w:tcW w:w="967" w:type="dxa"/>
            <w:vAlign w:val="center"/>
          </w:tcPr>
          <w:p w14:paraId="0FC697FC">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w:t>
            </w:r>
          </w:p>
        </w:tc>
        <w:tc>
          <w:tcPr>
            <w:tcW w:w="967" w:type="dxa"/>
            <w:vAlign w:val="center"/>
          </w:tcPr>
          <w:p w14:paraId="50C16953">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w:t>
            </w:r>
          </w:p>
        </w:tc>
        <w:tc>
          <w:tcPr>
            <w:tcW w:w="916" w:type="dxa"/>
            <w:vAlign w:val="center"/>
          </w:tcPr>
          <w:p w14:paraId="26F279A2">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20</w:t>
            </w:r>
          </w:p>
        </w:tc>
      </w:tr>
      <w:tr w14:paraId="19BA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56AFF4C7">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15</w:t>
            </w:r>
          </w:p>
        </w:tc>
        <w:tc>
          <w:tcPr>
            <w:tcW w:w="2678" w:type="dxa"/>
            <w:vAlign w:val="center"/>
          </w:tcPr>
          <w:p w14:paraId="374E535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入选“皖美农品”农业企业品牌和农产品品牌数量</w:t>
            </w:r>
          </w:p>
        </w:tc>
        <w:tc>
          <w:tcPr>
            <w:tcW w:w="957" w:type="dxa"/>
            <w:vAlign w:val="center"/>
          </w:tcPr>
          <w:p w14:paraId="52E09476">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个</w:t>
            </w:r>
          </w:p>
        </w:tc>
        <w:tc>
          <w:tcPr>
            <w:tcW w:w="1296" w:type="dxa"/>
            <w:vAlign w:val="center"/>
          </w:tcPr>
          <w:p w14:paraId="0CAC5ADF">
            <w:pPr>
              <w:pStyle w:val="5"/>
              <w:adjustRightInd w:val="0"/>
              <w:snapToGrid w:val="0"/>
              <w:spacing w:before="0" w:beforeLines="0" w:after="0" w:afterLines="0" w:line="240" w:lineRule="auto"/>
              <w:ind w:firstLine="0" w:firstLineChars="0"/>
              <w:jc w:val="center"/>
              <w:rPr>
                <w:rFonts w:hint="eastAsia" w:cs="Times New Roman"/>
                <w:sz w:val="24"/>
              </w:rPr>
            </w:pPr>
            <w:r>
              <w:rPr>
                <w:rFonts w:hint="eastAsia" w:cs="Times New Roman"/>
                <w:sz w:val="24"/>
              </w:rPr>
              <w:t>2</w:t>
            </w:r>
          </w:p>
        </w:tc>
        <w:tc>
          <w:tcPr>
            <w:tcW w:w="967" w:type="dxa"/>
            <w:vAlign w:val="center"/>
          </w:tcPr>
          <w:p w14:paraId="4B26D4FC">
            <w:pPr>
              <w:pStyle w:val="5"/>
              <w:adjustRightInd w:val="0"/>
              <w:snapToGrid w:val="0"/>
              <w:spacing w:before="0" w:beforeLines="0" w:after="0" w:afterLines="0" w:line="240" w:lineRule="auto"/>
              <w:ind w:firstLine="0" w:firstLineChars="0"/>
              <w:jc w:val="center"/>
              <w:rPr>
                <w:rFonts w:hint="eastAsia" w:cs="Times New Roman"/>
                <w:sz w:val="24"/>
              </w:rPr>
            </w:pPr>
            <w:r>
              <w:rPr>
                <w:rFonts w:hint="eastAsia" w:cs="Times New Roman"/>
                <w:sz w:val="24"/>
              </w:rPr>
              <w:t>5</w:t>
            </w:r>
          </w:p>
        </w:tc>
        <w:tc>
          <w:tcPr>
            <w:tcW w:w="967" w:type="dxa"/>
            <w:vAlign w:val="center"/>
          </w:tcPr>
          <w:p w14:paraId="2BC59553">
            <w:pPr>
              <w:pStyle w:val="5"/>
              <w:adjustRightInd w:val="0"/>
              <w:snapToGrid w:val="0"/>
              <w:spacing w:before="0" w:beforeLines="0" w:after="0" w:afterLines="0" w:line="240" w:lineRule="auto"/>
              <w:ind w:firstLine="0" w:firstLineChars="0"/>
              <w:jc w:val="center"/>
              <w:rPr>
                <w:rFonts w:hint="eastAsia" w:cs="Times New Roman"/>
                <w:sz w:val="24"/>
              </w:rPr>
            </w:pPr>
            <w:r>
              <w:rPr>
                <w:rFonts w:hint="eastAsia" w:cs="Times New Roman"/>
                <w:sz w:val="24"/>
              </w:rPr>
              <w:t>10</w:t>
            </w:r>
          </w:p>
        </w:tc>
        <w:tc>
          <w:tcPr>
            <w:tcW w:w="916" w:type="dxa"/>
            <w:vAlign w:val="center"/>
          </w:tcPr>
          <w:p w14:paraId="55FE5975">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15</w:t>
            </w:r>
          </w:p>
        </w:tc>
      </w:tr>
      <w:tr w14:paraId="5960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2CB949E4">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16</w:t>
            </w:r>
          </w:p>
        </w:tc>
        <w:tc>
          <w:tcPr>
            <w:tcW w:w="2678" w:type="dxa"/>
            <w:vAlign w:val="center"/>
          </w:tcPr>
          <w:p w14:paraId="5B54731D">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产品质量抽检合格率</w:t>
            </w:r>
          </w:p>
        </w:tc>
        <w:tc>
          <w:tcPr>
            <w:tcW w:w="957" w:type="dxa"/>
            <w:vAlign w:val="center"/>
          </w:tcPr>
          <w:p w14:paraId="51D0FDB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1296" w:type="dxa"/>
            <w:vAlign w:val="center"/>
          </w:tcPr>
          <w:p w14:paraId="59A2620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w:t>
            </w:r>
          </w:p>
        </w:tc>
        <w:tc>
          <w:tcPr>
            <w:tcW w:w="967" w:type="dxa"/>
            <w:vAlign w:val="center"/>
          </w:tcPr>
          <w:p w14:paraId="459836E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≥99.9</w:t>
            </w:r>
          </w:p>
        </w:tc>
        <w:tc>
          <w:tcPr>
            <w:tcW w:w="967" w:type="dxa"/>
            <w:vAlign w:val="center"/>
          </w:tcPr>
          <w:p w14:paraId="7B7F463B">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≥99.9</w:t>
            </w:r>
          </w:p>
        </w:tc>
        <w:tc>
          <w:tcPr>
            <w:tcW w:w="916" w:type="dxa"/>
            <w:vAlign w:val="center"/>
          </w:tcPr>
          <w:p w14:paraId="5CB65179">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≥99.9</w:t>
            </w:r>
          </w:p>
        </w:tc>
      </w:tr>
      <w:tr w14:paraId="69BD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vAlign w:val="center"/>
          </w:tcPr>
          <w:p w14:paraId="656FCB73">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17</w:t>
            </w:r>
          </w:p>
        </w:tc>
        <w:tc>
          <w:tcPr>
            <w:tcW w:w="2678" w:type="dxa"/>
            <w:vAlign w:val="center"/>
          </w:tcPr>
          <w:p w14:paraId="0CDCD9B7">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凤丹主题景区、乡村年接待旅游人次</w:t>
            </w:r>
          </w:p>
        </w:tc>
        <w:tc>
          <w:tcPr>
            <w:tcW w:w="957" w:type="dxa"/>
            <w:vAlign w:val="center"/>
          </w:tcPr>
          <w:p w14:paraId="0F98FA48">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万人次</w:t>
            </w:r>
          </w:p>
        </w:tc>
        <w:tc>
          <w:tcPr>
            <w:tcW w:w="1296" w:type="dxa"/>
            <w:vAlign w:val="center"/>
          </w:tcPr>
          <w:p w14:paraId="7AC6437E">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20</w:t>
            </w:r>
          </w:p>
        </w:tc>
        <w:tc>
          <w:tcPr>
            <w:tcW w:w="967" w:type="dxa"/>
            <w:vAlign w:val="center"/>
          </w:tcPr>
          <w:p w14:paraId="2318207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30</w:t>
            </w:r>
          </w:p>
        </w:tc>
        <w:tc>
          <w:tcPr>
            <w:tcW w:w="967" w:type="dxa"/>
            <w:vAlign w:val="center"/>
          </w:tcPr>
          <w:p w14:paraId="6FA2AAC7">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50</w:t>
            </w:r>
          </w:p>
        </w:tc>
        <w:tc>
          <w:tcPr>
            <w:tcW w:w="916" w:type="dxa"/>
            <w:vAlign w:val="center"/>
          </w:tcPr>
          <w:p w14:paraId="4E7E98EA">
            <w:pPr>
              <w:pStyle w:val="5"/>
              <w:adjustRightInd w:val="0"/>
              <w:snapToGrid w:val="0"/>
              <w:spacing w:before="0" w:beforeLines="0" w:after="0" w:afterLines="0" w:line="240" w:lineRule="auto"/>
              <w:ind w:firstLine="0" w:firstLineChars="0"/>
              <w:jc w:val="center"/>
              <w:rPr>
                <w:rFonts w:cs="Times New Roman"/>
                <w:sz w:val="24"/>
              </w:rPr>
            </w:pPr>
            <w:r>
              <w:rPr>
                <w:rFonts w:cs="Times New Roman"/>
                <w:sz w:val="24"/>
              </w:rPr>
              <w:t>100</w:t>
            </w:r>
          </w:p>
        </w:tc>
      </w:tr>
    </w:tbl>
    <w:p w14:paraId="1ADA0EE2">
      <w:pPr>
        <w:adjustRightInd w:val="0"/>
        <w:snapToGrid w:val="0"/>
        <w:spacing w:before="0" w:beforeLines="0" w:after="0" w:afterLines="0" w:line="240" w:lineRule="auto"/>
        <w:ind w:firstLine="0" w:firstLineChars="0"/>
        <w:rPr>
          <w:rFonts w:cs="Times New Roman"/>
        </w:rPr>
      </w:pPr>
      <w:r>
        <w:rPr>
          <w:rFonts w:cs="Times New Roman"/>
          <w:sz w:val="21"/>
          <w:szCs w:val="21"/>
        </w:rPr>
        <w:t>*产业技术创新平台及公共服务平台包含：企业研发中心、</w:t>
      </w:r>
      <w:r>
        <w:rPr>
          <w:rFonts w:hint="eastAsia" w:cs="Times New Roman"/>
          <w:sz w:val="21"/>
          <w:szCs w:val="21"/>
        </w:rPr>
        <w:t>重点实验室</w:t>
      </w:r>
      <w:r>
        <w:rPr>
          <w:rFonts w:cs="Times New Roman"/>
          <w:sz w:val="21"/>
          <w:szCs w:val="21"/>
        </w:rPr>
        <w:t>、新型研发机构、检验检测机构、科技小院等。</w:t>
      </w:r>
    </w:p>
    <w:p w14:paraId="3A79A9D3">
      <w:pPr>
        <w:pStyle w:val="2"/>
        <w:spacing w:before="217" w:after="217"/>
        <w:ind w:firstLine="643"/>
        <w:rPr>
          <w:rFonts w:cs="Times New Roman"/>
        </w:rPr>
      </w:pPr>
      <w:bookmarkStart w:id="43" w:name="_Toc180074425"/>
      <w:r>
        <w:rPr>
          <w:rFonts w:cs="Times New Roman"/>
        </w:rPr>
        <w:t>第三章 产业体系与空间布局</w:t>
      </w:r>
      <w:bookmarkEnd w:id="43"/>
    </w:p>
    <w:p w14:paraId="6874E68E">
      <w:pPr>
        <w:pStyle w:val="3"/>
        <w:spacing w:before="217" w:after="217"/>
        <w:ind w:firstLine="643"/>
        <w:rPr>
          <w:rFonts w:cs="Times New Roman"/>
          <w:b/>
          <w:bCs w:val="0"/>
        </w:rPr>
      </w:pPr>
      <w:bookmarkStart w:id="44" w:name="_Toc180074426"/>
      <w:r>
        <w:rPr>
          <w:rFonts w:cs="Times New Roman"/>
          <w:b/>
          <w:bCs w:val="0"/>
        </w:rPr>
        <w:t>一、产业体系</w:t>
      </w:r>
      <w:bookmarkEnd w:id="44"/>
    </w:p>
    <w:p w14:paraId="67BDCCCB">
      <w:pPr>
        <w:pStyle w:val="5"/>
        <w:spacing w:before="217" w:after="217"/>
        <w:ind w:firstLine="640"/>
        <w:rPr>
          <w:rFonts w:cs="Times New Roman"/>
        </w:rPr>
      </w:pPr>
      <w:r>
        <w:rPr>
          <w:rFonts w:cs="Times New Roman"/>
        </w:rPr>
        <w:t>立足中国凤丹原产地优势，</w:t>
      </w:r>
      <w:r>
        <w:rPr>
          <w:rFonts w:hint="eastAsia" w:cs="Times New Roman"/>
        </w:rPr>
        <w:t>按照“强二产、促一产、活三产”的整体发展思路，</w:t>
      </w:r>
      <w:r>
        <w:rPr>
          <w:rFonts w:cs="Times New Roman"/>
        </w:rPr>
        <w:t>深入挖掘凤丹</w:t>
      </w:r>
      <w:r>
        <w:rPr>
          <w:rFonts w:hint="eastAsia" w:cs="Times New Roman"/>
          <w:lang w:val="en-US" w:eastAsia="zh-CN"/>
        </w:rPr>
        <w:t>食药同源</w:t>
      </w:r>
      <w:r>
        <w:rPr>
          <w:rFonts w:hint="eastAsia" w:cs="Times New Roman"/>
        </w:rPr>
        <w:t>价值，突出凤丹药用领域精深加工对全产业链价值链提升的核心作用，</w:t>
      </w:r>
      <w:r>
        <w:rPr>
          <w:rFonts w:cs="Times New Roman"/>
        </w:rPr>
        <w:t>重点发展</w:t>
      </w:r>
      <w:r>
        <w:rPr>
          <w:rFonts w:hint="eastAsia" w:cs="Times New Roman"/>
        </w:rPr>
        <w:t>以中药、植物提取物、生物医药原料等为核心的凤丹精深加工产品，完善</w:t>
      </w:r>
      <w:r>
        <w:rPr>
          <w:rFonts w:cs="Times New Roman"/>
        </w:rPr>
        <w:t>种苗繁育、花卉培植、文创文娱</w:t>
      </w:r>
      <w:r>
        <w:rPr>
          <w:rFonts w:hint="eastAsia" w:cs="Times New Roman"/>
        </w:rPr>
        <w:t>等上下游业态</w:t>
      </w:r>
      <w:r>
        <w:rPr>
          <w:rFonts w:cs="Times New Roman"/>
        </w:rPr>
        <w:t>，全面构建凤丹全产业链体系。</w:t>
      </w:r>
    </w:p>
    <w:p w14:paraId="77668792">
      <w:pPr>
        <w:pStyle w:val="5"/>
        <w:spacing w:before="0" w:beforeLines="0" w:after="0" w:afterLines="0" w:line="240" w:lineRule="auto"/>
        <w:ind w:firstLine="0" w:firstLineChars="0"/>
        <w:rPr>
          <w:rFonts w:cs="Times New Roman"/>
        </w:rPr>
      </w:pPr>
      <w:r>
        <w:rPr>
          <w:rFonts w:cs="Times New Roman"/>
        </w:rPr>
        <w:drawing>
          <wp:inline distT="0" distB="0" distL="0" distR="0">
            <wp:extent cx="5274310" cy="3028950"/>
            <wp:effectExtent l="0" t="0" r="254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3028950"/>
                    </a:xfrm>
                    <a:prstGeom prst="rect">
                      <a:avLst/>
                    </a:prstGeom>
                  </pic:spPr>
                </pic:pic>
              </a:graphicData>
            </a:graphic>
          </wp:inline>
        </w:drawing>
      </w:r>
    </w:p>
    <w:p w14:paraId="336BE799">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图3-1 铜陵市凤丹全产业链体系</w:t>
      </w:r>
    </w:p>
    <w:p w14:paraId="68BE4621">
      <w:pPr>
        <w:spacing w:before="217" w:after="217"/>
        <w:ind w:firstLine="643"/>
        <w:rPr>
          <w:rFonts w:cs="Times New Roman"/>
        </w:rPr>
      </w:pPr>
      <w:r>
        <w:rPr>
          <w:rFonts w:hint="eastAsia" w:cs="Times New Roman"/>
          <w:b/>
          <w:bCs/>
        </w:rPr>
        <w:t>加快完善品种种苗产品</w:t>
      </w:r>
      <w:r>
        <w:rPr>
          <w:rFonts w:cs="Times New Roman"/>
          <w:b/>
          <w:bCs/>
        </w:rPr>
        <w:t>：</w:t>
      </w:r>
      <w:r>
        <w:rPr>
          <w:rFonts w:cs="Times New Roman"/>
        </w:rPr>
        <w:t>围绕凤丹药用、</w:t>
      </w:r>
      <w:r>
        <w:rPr>
          <w:rFonts w:hint="eastAsia" w:cs="Times New Roman"/>
        </w:rPr>
        <w:t>食用</w:t>
      </w:r>
      <w:r>
        <w:rPr>
          <w:rFonts w:cs="Times New Roman"/>
        </w:rPr>
        <w:t>、观赏等用途，开展药用</w:t>
      </w:r>
      <w:r>
        <w:rPr>
          <w:rFonts w:hint="eastAsia" w:cs="Times New Roman"/>
        </w:rPr>
        <w:t>食用</w:t>
      </w:r>
      <w:r>
        <w:rPr>
          <w:rFonts w:cs="Times New Roman"/>
        </w:rPr>
        <w:t>的高产高品质凤丹品种选育和种苗繁育，培育花型大、花朵多、花期长、耐储藏的观赏、鲜切花凤丹品种种苗及其他本地适生的观赏牡丹种苗，加快壮大凤丹种苗产业。</w:t>
      </w:r>
    </w:p>
    <w:p w14:paraId="669546A3">
      <w:pPr>
        <w:pStyle w:val="5"/>
        <w:spacing w:before="217" w:after="217"/>
        <w:ind w:firstLine="643"/>
        <w:rPr>
          <w:rFonts w:cs="Times New Roman"/>
        </w:rPr>
      </w:pPr>
      <w:r>
        <w:rPr>
          <w:rFonts w:hint="eastAsia" w:cs="Times New Roman"/>
          <w:b/>
          <w:bCs/>
        </w:rPr>
        <w:t>探索发展</w:t>
      </w:r>
      <w:r>
        <w:rPr>
          <w:rFonts w:cs="Times New Roman"/>
          <w:b/>
          <w:bCs/>
        </w:rPr>
        <w:t>花卉培植</w:t>
      </w:r>
      <w:r>
        <w:rPr>
          <w:rFonts w:hint="eastAsia" w:cs="Times New Roman"/>
          <w:b/>
          <w:bCs/>
        </w:rPr>
        <w:t>产品</w:t>
      </w:r>
      <w:r>
        <w:rPr>
          <w:rFonts w:cs="Times New Roman"/>
          <w:b/>
          <w:bCs/>
        </w:rPr>
        <w:t>：</w:t>
      </w:r>
      <w:r>
        <w:rPr>
          <w:rFonts w:cs="Times New Roman"/>
        </w:rPr>
        <w:t>放大凤丹观赏用途，围绕凤丹白、凤丹粉、‌凤丹紫、‌凤丹玉、凤丹星等品种发展用于制作花篮、花束、瓶插花的鲜切花以及盆栽花，重点强化有“油画牡丹”之称的凤丹白鲜切花、盆栽花产品开发。</w:t>
      </w:r>
    </w:p>
    <w:p w14:paraId="07C3D594">
      <w:pPr>
        <w:pStyle w:val="5"/>
        <w:spacing w:before="217" w:after="217"/>
        <w:ind w:firstLine="643"/>
        <w:rPr>
          <w:rFonts w:cs="Times New Roman"/>
        </w:rPr>
      </w:pPr>
      <w:r>
        <w:rPr>
          <w:rFonts w:hint="eastAsia" w:cs="Times New Roman"/>
          <w:b/>
          <w:bCs/>
        </w:rPr>
        <w:t>做大做强</w:t>
      </w:r>
      <w:r>
        <w:rPr>
          <w:rFonts w:cs="Times New Roman"/>
          <w:b/>
          <w:bCs/>
        </w:rPr>
        <w:t>精深加工</w:t>
      </w:r>
      <w:r>
        <w:rPr>
          <w:rFonts w:hint="eastAsia" w:cs="Times New Roman"/>
          <w:b/>
          <w:bCs/>
        </w:rPr>
        <w:t>产品</w:t>
      </w:r>
      <w:r>
        <w:rPr>
          <w:rFonts w:cs="Times New Roman"/>
          <w:b/>
          <w:bCs/>
        </w:rPr>
        <w:t>：</w:t>
      </w:r>
      <w:r>
        <w:rPr>
          <w:rFonts w:cs="Times New Roman"/>
        </w:rPr>
        <w:t>重点推进凤丹花瓣、花蕊、籽、茎秆等初加工，发展凤丹花茶、凤丹花蕊茶、凤丹月饼、凤丹籽毛油、凤丹籽食用油等初加工产品；强化精深产品加工，开发凤丹生物活性原料、牡丹籽油新食品原料、食品添加剂及软糖、饮品、零食等功能食品、特殊膳食食品等。重点推进丹皮道地药材加工，创新中药炮制技术，拓展凤丹气雾剂、六味地黄丸、丹栀逍遥丸等中药饮片、中药配方颗粒、中成药等业态；强化凤丹含有的丹皮酚、甾醇、白藜芦醇、角鲨烯等开发利用，延伸发展生物医药原料等。重点加强凤丹纯露、凤丹细胞液、根提取物、凤丹花肽等提取物发展，拓展牙膏、香皂、花露水、精油等日化产品及面膜、精粹、口服美容产品等发展。</w:t>
      </w:r>
    </w:p>
    <w:p w14:paraId="7EE533A0">
      <w:pPr>
        <w:pStyle w:val="5"/>
        <w:spacing w:before="217" w:after="217"/>
        <w:ind w:firstLine="643"/>
        <w:rPr>
          <w:rFonts w:cs="Times New Roman"/>
        </w:rPr>
      </w:pPr>
      <w:r>
        <w:rPr>
          <w:rFonts w:hint="eastAsia" w:cs="Times New Roman"/>
          <w:b/>
          <w:bCs/>
        </w:rPr>
        <w:t>丰富拓展</w:t>
      </w:r>
      <w:r>
        <w:rPr>
          <w:rFonts w:cs="Times New Roman"/>
          <w:b/>
          <w:bCs/>
        </w:rPr>
        <w:t>文创文娱</w:t>
      </w:r>
      <w:r>
        <w:rPr>
          <w:rFonts w:hint="eastAsia" w:cs="Times New Roman"/>
          <w:b/>
          <w:bCs/>
        </w:rPr>
        <w:t>产品</w:t>
      </w:r>
      <w:r>
        <w:rPr>
          <w:rFonts w:cs="Times New Roman"/>
          <w:b/>
          <w:bCs/>
        </w:rPr>
        <w:t>：</w:t>
      </w:r>
      <w:r>
        <w:rPr>
          <w:rFonts w:cs="Times New Roman"/>
        </w:rPr>
        <w:t>重点推进凤丹与铜陵青铜铸造工艺、糖画制作技艺等融合发展，开发具有凤丹元素的青铜雕塑、居家饰品、装饰品、手工艺品、书画作品等文创产品；开发凤丹相关雕塑、音乐、戏剧、演艺等文娱产品和服务，打造凤丹主题实景演艺、音乐剧等；建设凤丹主题村庄、公园等，改造提升凤凰山景区；创新丹须熏小鱼、凤丹菇、凤丹皮炒瓜子、凤丹花炒鸡蛋、凤丹炸糕、凤丹羹等凤丹相关特色美食，开发低糖、低卡的即食食品、伴手礼等。</w:t>
      </w:r>
    </w:p>
    <w:p w14:paraId="39FA8F6A">
      <w:pPr>
        <w:pStyle w:val="3"/>
        <w:spacing w:before="217" w:after="217"/>
        <w:ind w:firstLine="643"/>
        <w:rPr>
          <w:rFonts w:cs="Times New Roman"/>
          <w:b/>
          <w:bCs w:val="0"/>
        </w:rPr>
      </w:pPr>
      <w:bookmarkStart w:id="45" w:name="_Toc180074427"/>
      <w:r>
        <w:rPr>
          <w:rFonts w:cs="Times New Roman"/>
          <w:b/>
          <w:bCs w:val="0"/>
        </w:rPr>
        <w:t>二、整体空间格局</w:t>
      </w:r>
      <w:bookmarkEnd w:id="45"/>
    </w:p>
    <w:p w14:paraId="5C5CACF3">
      <w:pPr>
        <w:pStyle w:val="5"/>
        <w:spacing w:before="217" w:after="217"/>
        <w:ind w:firstLine="640"/>
        <w:rPr>
          <w:rFonts w:cs="Times New Roman"/>
        </w:rPr>
      </w:pPr>
      <w:r>
        <w:rPr>
          <w:rFonts w:cs="Times New Roman"/>
        </w:rPr>
        <w:t>立足区域资源禀赋、产业基础等，围绕凤丹产业未来发展需求，统筹考虑凤丹历史种植区域、区域自然环境适配性等，以铜陵国家农业科技园区为凤丹高质量发展创新核，以义安区为凤丹高质量发展示范区、市域其他区域为凤丹高质量发展拓展区、周边市县为凤丹高质量发展协同联动区，同时在市域范围布局一批凤丹种植、初加工、精深加工、农旅融合节点，构建凤丹产业“一核三区多点”空间发展格局。</w:t>
      </w:r>
    </w:p>
    <w:p w14:paraId="6A63BF24">
      <w:pPr>
        <w:pStyle w:val="5"/>
        <w:spacing w:before="0" w:beforeLines="0" w:after="0" w:afterLines="0" w:line="240" w:lineRule="auto"/>
        <w:ind w:firstLine="0" w:firstLineChars="0"/>
        <w:jc w:val="center"/>
        <w:rPr>
          <w:rFonts w:cs="Times New Roman"/>
        </w:rPr>
      </w:pPr>
      <w:r>
        <w:rPr>
          <w:rFonts w:cs="Times New Roman"/>
        </w:rPr>
        <w:drawing>
          <wp:inline distT="0" distB="0" distL="0" distR="0">
            <wp:extent cx="4992370" cy="3633470"/>
            <wp:effectExtent l="0" t="0" r="0"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96853" cy="3636646"/>
                    </a:xfrm>
                    <a:prstGeom prst="rect">
                      <a:avLst/>
                    </a:prstGeom>
                  </pic:spPr>
                </pic:pic>
              </a:graphicData>
            </a:graphic>
          </wp:inline>
        </w:drawing>
      </w:r>
    </w:p>
    <w:p w14:paraId="0FA8B241">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图3-2 铜陵市凤丹产业“一核三区多点”空间布局</w:t>
      </w:r>
    </w:p>
    <w:p w14:paraId="55CB29D9">
      <w:pPr>
        <w:pStyle w:val="3"/>
        <w:spacing w:before="217" w:after="217"/>
        <w:ind w:firstLine="643"/>
        <w:rPr>
          <w:rFonts w:cs="Times New Roman"/>
          <w:b/>
          <w:bCs w:val="0"/>
        </w:rPr>
      </w:pPr>
      <w:bookmarkStart w:id="46" w:name="_Toc180074428"/>
      <w:r>
        <w:rPr>
          <w:rFonts w:cs="Times New Roman"/>
          <w:b/>
          <w:bCs w:val="0"/>
        </w:rPr>
        <w:t>三、功能分区</w:t>
      </w:r>
      <w:bookmarkEnd w:id="46"/>
    </w:p>
    <w:p w14:paraId="6E11598C">
      <w:pPr>
        <w:pStyle w:val="4"/>
        <w:rPr>
          <w:rFonts w:cs="Times New Roman"/>
        </w:rPr>
      </w:pPr>
      <w:bookmarkStart w:id="47" w:name="_Toc180074429"/>
      <w:bookmarkStart w:id="48" w:name="_Toc180020979"/>
      <w:bookmarkStart w:id="49" w:name="_Toc173425528"/>
      <w:r>
        <w:rPr>
          <w:rFonts w:cs="Times New Roman"/>
        </w:rPr>
        <w:t>1、一核引领</w:t>
      </w:r>
      <w:bookmarkEnd w:id="47"/>
      <w:bookmarkEnd w:id="48"/>
      <w:bookmarkEnd w:id="49"/>
    </w:p>
    <w:p w14:paraId="2AA54965">
      <w:pPr>
        <w:pStyle w:val="5"/>
        <w:spacing w:before="217" w:after="217"/>
        <w:ind w:firstLine="640"/>
        <w:rPr>
          <w:rFonts w:cs="Times New Roman"/>
        </w:rPr>
      </w:pPr>
      <w:r>
        <w:rPr>
          <w:rFonts w:cs="Times New Roman"/>
        </w:rPr>
        <w:t>以铜陵国家农业科技园区为核心，主要承担凤丹产业公共创新服务、创业孵化、凤丹精深加工、展览展示等功能，充分发挥农业科技综合服务中心、公共创新平台、孵化器、星创天地等创新引领作用，进一步夯实凤丹产业技术创新基础设施、平台中心等配套，加快凤丹种质资源保护及基因库建设，培育、引进凤丹精深加工企业，将铜陵国家农业科技园区打造成全市凤丹产业高质量发展的创新驱动核。</w:t>
      </w:r>
    </w:p>
    <w:p w14:paraId="21FD7325">
      <w:pPr>
        <w:pStyle w:val="4"/>
        <w:rPr>
          <w:rFonts w:cs="Times New Roman"/>
        </w:rPr>
      </w:pPr>
      <w:bookmarkStart w:id="50" w:name="_Toc173425529"/>
      <w:bookmarkStart w:id="51" w:name="_Toc180020980"/>
      <w:bookmarkStart w:id="52" w:name="_Toc180074430"/>
      <w:r>
        <w:rPr>
          <w:rFonts w:cs="Times New Roman"/>
        </w:rPr>
        <w:t>2、三区协同</w:t>
      </w:r>
      <w:bookmarkEnd w:id="50"/>
      <w:bookmarkEnd w:id="51"/>
      <w:bookmarkEnd w:id="52"/>
    </w:p>
    <w:p w14:paraId="69A5A2E1">
      <w:pPr>
        <w:pStyle w:val="5"/>
        <w:spacing w:before="217" w:after="217"/>
        <w:ind w:firstLine="640"/>
        <w:rPr>
          <w:rFonts w:cs="Times New Roman"/>
        </w:rPr>
      </w:pPr>
      <w:r>
        <w:rPr>
          <w:rFonts w:cs="Times New Roman"/>
        </w:rPr>
        <w:t>凤丹高质量发展示范区：以义安区钟鸣镇、顺安镇、天门镇为核心，主要承担凤丹种质资源保护、种苗繁育、标准化种植、农旅融合等功能，推进凤丹种质资源原地保存林、母树林、示范林、繁殖圃、试验林建设，加快推进凤丹标准化种植基地建设和林下凤丹种植基地建设，拓展小流域治理区域、复垦荒地、矿山修复区等种植空间，强化农旅融合项目布局与建设，全力打造凤丹高质量发展示范区。</w:t>
      </w:r>
    </w:p>
    <w:p w14:paraId="4829B707">
      <w:pPr>
        <w:pStyle w:val="5"/>
        <w:spacing w:before="217" w:after="217"/>
        <w:ind w:firstLine="640"/>
        <w:rPr>
          <w:rFonts w:cs="Times New Roman"/>
        </w:rPr>
      </w:pPr>
      <w:r>
        <w:rPr>
          <w:rFonts w:cs="Times New Roman"/>
        </w:rPr>
        <w:t>凤丹高质量发展拓展区：以铜陵市铜官区、郊区、枞阳县及义安区其他乡镇为核心，主要承担凤丹标准化种植、休闲观光、交易流通、展览展示等功能，加快适生区凤丹引种试验示范，提升乡村旅游景点景区凤丹元素含量，在</w:t>
      </w:r>
      <w:r>
        <w:rPr>
          <w:rFonts w:hint="eastAsia" w:cs="Times New Roman"/>
        </w:rPr>
        <w:t>义安区</w:t>
      </w:r>
      <w:r>
        <w:rPr>
          <w:rFonts w:cs="Times New Roman"/>
        </w:rPr>
        <w:t>谋划建设凤丹鲜切花交易市场、中药材交易市场，建设一批集展览展示、产品销售等功能</w:t>
      </w:r>
      <w:r>
        <w:rPr>
          <w:rFonts w:hint="eastAsia" w:cs="Times New Roman"/>
        </w:rPr>
        <w:t>为</w:t>
      </w:r>
      <w:r>
        <w:rPr>
          <w:rFonts w:cs="Times New Roman"/>
        </w:rPr>
        <w:t>一体的凤丹主题形象店、旗舰店等，全力打造凤丹高质量发展拓展区。</w:t>
      </w:r>
    </w:p>
    <w:p w14:paraId="133728E9">
      <w:pPr>
        <w:pStyle w:val="5"/>
        <w:spacing w:before="217" w:after="217"/>
        <w:ind w:firstLine="640"/>
        <w:rPr>
          <w:rFonts w:cs="Times New Roman"/>
        </w:rPr>
      </w:pPr>
      <w:r>
        <w:rPr>
          <w:rFonts w:cs="Times New Roman"/>
        </w:rPr>
        <w:t>凤丹高质量发展协同联动区：积极加强与芜湖市南陵县及安庆市迎江区、池州市贵池区、青阳县等周边凤丹种植区、凤丹主题旅游景区、创新平台、主题会议会展等方面合作，凝聚跨区域发展合力打造</w:t>
      </w:r>
      <w:bookmarkStart w:id="53" w:name="_Hlk180505009"/>
      <w:r>
        <w:rPr>
          <w:rFonts w:cs="Times New Roman"/>
        </w:rPr>
        <w:t>凤丹高质量发展协同联动区</w:t>
      </w:r>
      <w:bookmarkEnd w:id="53"/>
      <w:r>
        <w:rPr>
          <w:rFonts w:cs="Times New Roman"/>
        </w:rPr>
        <w:t>。</w:t>
      </w:r>
    </w:p>
    <w:p w14:paraId="46293DA6">
      <w:pPr>
        <w:pStyle w:val="4"/>
        <w:rPr>
          <w:rFonts w:cs="Times New Roman"/>
        </w:rPr>
      </w:pPr>
      <w:bookmarkStart w:id="54" w:name="_Toc180020981"/>
      <w:bookmarkStart w:id="55" w:name="_Toc173425530"/>
      <w:bookmarkStart w:id="56" w:name="_Toc180074431"/>
      <w:r>
        <w:rPr>
          <w:rFonts w:cs="Times New Roman"/>
        </w:rPr>
        <w:t>3、多点补充</w:t>
      </w:r>
      <w:bookmarkEnd w:id="54"/>
      <w:bookmarkEnd w:id="55"/>
      <w:bookmarkEnd w:id="56"/>
    </w:p>
    <w:p w14:paraId="372EDC53">
      <w:pPr>
        <w:pStyle w:val="5"/>
        <w:spacing w:before="217" w:after="217"/>
        <w:ind w:firstLine="640"/>
        <w:rPr>
          <w:rFonts w:cs="Times New Roman"/>
        </w:rPr>
      </w:pPr>
      <w:r>
        <w:rPr>
          <w:rFonts w:cs="Times New Roman"/>
        </w:rPr>
        <w:t>向林下、沟域、尾矿、庭院等要种植面积，向公园、景区、村庄等要文旅空间，培育和引进一批凤丹种植、精深加工新型经营主体，配套完善创新平台、仓储物流、形象展示、产品销售等设施，在市域范围内因地制宜布置一批凤丹种植、贸易流通、科技创新平台、凤丹初加工及精深加工、形象展示及产品销售、凤丹主题旅游体验、网红打卡点等重点项目，为凤丹产业全域协调发展提供支撑和补充。</w:t>
      </w:r>
    </w:p>
    <w:p w14:paraId="1BC73FE2">
      <w:pPr>
        <w:pStyle w:val="2"/>
        <w:spacing w:before="217" w:after="217"/>
        <w:ind w:firstLine="643"/>
        <w:rPr>
          <w:rFonts w:cs="Times New Roman"/>
        </w:rPr>
      </w:pPr>
      <w:bookmarkStart w:id="57" w:name="_Toc180074432"/>
      <w:r>
        <w:rPr>
          <w:rFonts w:cs="Times New Roman"/>
        </w:rPr>
        <w:t>第四章 重点任务</w:t>
      </w:r>
      <w:bookmarkEnd w:id="57"/>
    </w:p>
    <w:p w14:paraId="45EA91E0">
      <w:pPr>
        <w:pStyle w:val="3"/>
        <w:spacing w:before="217" w:after="217"/>
        <w:ind w:firstLine="643"/>
        <w:rPr>
          <w:rFonts w:cs="Times New Roman"/>
          <w:b/>
          <w:bCs w:val="0"/>
        </w:rPr>
      </w:pPr>
      <w:bookmarkStart w:id="58" w:name="_Toc180074433"/>
      <w:r>
        <w:rPr>
          <w:rFonts w:cs="Times New Roman"/>
          <w:b/>
          <w:bCs w:val="0"/>
        </w:rPr>
        <w:t>一、实施凤丹扩规补链行动，打造产业凤丹</w:t>
      </w:r>
      <w:bookmarkEnd w:id="58"/>
    </w:p>
    <w:p w14:paraId="52EB10DF">
      <w:pPr>
        <w:pStyle w:val="4"/>
        <w:rPr>
          <w:rFonts w:cs="Times New Roman"/>
        </w:rPr>
      </w:pPr>
      <w:bookmarkStart w:id="59" w:name="_Toc180020984"/>
      <w:bookmarkStart w:id="60" w:name="_Toc180074434"/>
      <w:bookmarkStart w:id="61" w:name="_Toc173425533"/>
      <w:r>
        <w:rPr>
          <w:rFonts w:cs="Times New Roman"/>
        </w:rPr>
        <w:t>1、强化凤丹种苗繁育基地建设</w:t>
      </w:r>
      <w:bookmarkEnd w:id="59"/>
      <w:bookmarkEnd w:id="60"/>
      <w:bookmarkEnd w:id="61"/>
    </w:p>
    <w:p w14:paraId="1EF31454">
      <w:pPr>
        <w:pStyle w:val="5"/>
        <w:spacing w:before="217" w:after="0" w:afterLines="0"/>
        <w:ind w:firstLine="640"/>
        <w:rPr>
          <w:rFonts w:cs="Times New Roman"/>
        </w:rPr>
      </w:pPr>
      <w:r>
        <w:rPr>
          <w:rFonts w:cs="Times New Roman"/>
        </w:rPr>
        <w:t>依托中科院植物所、安徽农业大学、安徽农科院等高校院所力量，强化凤丹种质资源调查、保护与培育，改造提升存量凤丹种苗繁育基地，加快推进凤丹新品种繁育和测试基地、种质资源繁殖圃等建设。以凤凰山区域为核心，建设药用、</w:t>
      </w:r>
      <w:r>
        <w:rPr>
          <w:rFonts w:hint="eastAsia" w:cs="Times New Roman"/>
        </w:rPr>
        <w:t>食用</w:t>
      </w:r>
      <w:r>
        <w:rPr>
          <w:rFonts w:cs="Times New Roman"/>
        </w:rPr>
        <w:t>类凤丹标准化种苗繁育基地，加快推进禾田中药道地中药材牡丹皮良种繁育基地等项目建设；充分挖掘矿山修复区域生产潜力，建设观赏类、鲜切花、盆栽类凤丹引种保育实验基地、种苗繁育基地等。立足南方牡丹基因库建设，加快建设适合南方生长的牡丹种苗繁育基地，有效解决全市及周边地区牡丹种苗短缺、价格上涨、生产成本上升的问题。</w:t>
      </w:r>
    </w:p>
    <w:p w14:paraId="6E5FA1C5">
      <w:pPr>
        <w:pStyle w:val="5"/>
        <w:spacing w:before="217" w:after="0" w:afterLines="0" w:line="240" w:lineRule="auto"/>
        <w:ind w:firstLine="0" w:firstLineChars="0"/>
        <w:jc w:val="center"/>
        <w:rPr>
          <w:rFonts w:cs="Times New Roman"/>
          <w:b/>
          <w:bCs/>
          <w:sz w:val="28"/>
          <w:szCs w:val="28"/>
        </w:rPr>
      </w:pPr>
      <w:r>
        <w:rPr>
          <w:rFonts w:cs="Times New Roman"/>
          <w:b/>
          <w:bCs/>
          <w:sz w:val="28"/>
          <w:szCs w:val="28"/>
        </w:rPr>
        <w:t>表4-1 铜陵市凤丹种质资源保库核心功能区面积</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835"/>
        <w:gridCol w:w="2399"/>
        <w:gridCol w:w="2074"/>
      </w:tblGrid>
      <w:tr w14:paraId="68CA9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dxa"/>
          </w:tcPr>
          <w:p w14:paraId="65CDF8CD">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2835" w:type="dxa"/>
          </w:tcPr>
          <w:p w14:paraId="29CEC297">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功能区名称</w:t>
            </w:r>
          </w:p>
        </w:tc>
        <w:tc>
          <w:tcPr>
            <w:tcW w:w="2399" w:type="dxa"/>
          </w:tcPr>
          <w:p w14:paraId="7C0BE6D4">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面积（亩）</w:t>
            </w:r>
          </w:p>
        </w:tc>
        <w:tc>
          <w:tcPr>
            <w:tcW w:w="2074" w:type="dxa"/>
          </w:tcPr>
          <w:p w14:paraId="6FA35A42">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备注</w:t>
            </w:r>
          </w:p>
        </w:tc>
      </w:tr>
      <w:tr w14:paraId="2324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E26FD8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2835" w:type="dxa"/>
            <w:vAlign w:val="center"/>
          </w:tcPr>
          <w:p w14:paraId="78D8588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原地保存林</w:t>
            </w:r>
          </w:p>
        </w:tc>
        <w:tc>
          <w:tcPr>
            <w:tcW w:w="2399" w:type="dxa"/>
            <w:vAlign w:val="center"/>
          </w:tcPr>
          <w:p w14:paraId="1EC8963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45</w:t>
            </w:r>
          </w:p>
        </w:tc>
        <w:tc>
          <w:tcPr>
            <w:tcW w:w="2074" w:type="dxa"/>
            <w:vAlign w:val="center"/>
          </w:tcPr>
          <w:p w14:paraId="1036D8B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核心区</w:t>
            </w:r>
          </w:p>
        </w:tc>
      </w:tr>
      <w:tr w14:paraId="187E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E8734B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2835" w:type="dxa"/>
            <w:vAlign w:val="center"/>
          </w:tcPr>
          <w:p w14:paraId="63FE78E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母树林</w:t>
            </w:r>
          </w:p>
        </w:tc>
        <w:tc>
          <w:tcPr>
            <w:tcW w:w="2399" w:type="dxa"/>
            <w:vAlign w:val="center"/>
          </w:tcPr>
          <w:p w14:paraId="3471B5CD">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46.5</w:t>
            </w:r>
          </w:p>
        </w:tc>
        <w:tc>
          <w:tcPr>
            <w:tcW w:w="2074" w:type="dxa"/>
            <w:vAlign w:val="center"/>
          </w:tcPr>
          <w:p w14:paraId="0958389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核心区</w:t>
            </w:r>
          </w:p>
        </w:tc>
      </w:tr>
      <w:tr w14:paraId="3DC43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22E5BB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2835" w:type="dxa"/>
            <w:vAlign w:val="center"/>
          </w:tcPr>
          <w:p w14:paraId="578183C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示范林</w:t>
            </w:r>
          </w:p>
        </w:tc>
        <w:tc>
          <w:tcPr>
            <w:tcW w:w="2399" w:type="dxa"/>
            <w:vAlign w:val="center"/>
          </w:tcPr>
          <w:p w14:paraId="1EA92C4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55.5</w:t>
            </w:r>
          </w:p>
        </w:tc>
        <w:tc>
          <w:tcPr>
            <w:tcW w:w="2074" w:type="dxa"/>
            <w:vAlign w:val="center"/>
          </w:tcPr>
          <w:p w14:paraId="5B14887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附属区</w:t>
            </w:r>
          </w:p>
        </w:tc>
      </w:tr>
      <w:tr w14:paraId="2EDD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B088D6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2835" w:type="dxa"/>
            <w:vAlign w:val="center"/>
          </w:tcPr>
          <w:p w14:paraId="022633EB">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繁殖圃</w:t>
            </w:r>
          </w:p>
        </w:tc>
        <w:tc>
          <w:tcPr>
            <w:tcW w:w="2399" w:type="dxa"/>
            <w:vAlign w:val="center"/>
          </w:tcPr>
          <w:p w14:paraId="0EA25D0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30</w:t>
            </w:r>
          </w:p>
        </w:tc>
        <w:tc>
          <w:tcPr>
            <w:tcW w:w="2074" w:type="dxa"/>
            <w:vAlign w:val="center"/>
          </w:tcPr>
          <w:p w14:paraId="05D7477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附属区</w:t>
            </w:r>
          </w:p>
        </w:tc>
      </w:tr>
      <w:tr w14:paraId="2B84C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78B95CC3">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w:t>
            </w:r>
          </w:p>
        </w:tc>
        <w:tc>
          <w:tcPr>
            <w:tcW w:w="2835" w:type="dxa"/>
            <w:vAlign w:val="center"/>
          </w:tcPr>
          <w:p w14:paraId="7A28ABB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试验林</w:t>
            </w:r>
          </w:p>
        </w:tc>
        <w:tc>
          <w:tcPr>
            <w:tcW w:w="2399" w:type="dxa"/>
            <w:vAlign w:val="center"/>
          </w:tcPr>
          <w:p w14:paraId="05503D2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45</w:t>
            </w:r>
          </w:p>
        </w:tc>
        <w:tc>
          <w:tcPr>
            <w:tcW w:w="2074" w:type="dxa"/>
            <w:vAlign w:val="center"/>
          </w:tcPr>
          <w:p w14:paraId="724711D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附属区</w:t>
            </w:r>
          </w:p>
        </w:tc>
      </w:tr>
    </w:tbl>
    <w:p w14:paraId="20FBC390">
      <w:pPr>
        <w:pStyle w:val="4"/>
        <w:rPr>
          <w:rFonts w:cs="Times New Roman"/>
        </w:rPr>
      </w:pPr>
      <w:bookmarkStart w:id="62" w:name="_Toc173425534"/>
      <w:bookmarkStart w:id="63" w:name="_Toc180020985"/>
      <w:bookmarkStart w:id="64" w:name="_Toc180074435"/>
      <w:r>
        <w:rPr>
          <w:rFonts w:cs="Times New Roman"/>
        </w:rPr>
        <w:t>2、壮大凤丹标准化种植基地规模</w:t>
      </w:r>
      <w:bookmarkEnd w:id="62"/>
      <w:bookmarkEnd w:id="63"/>
      <w:bookmarkEnd w:id="64"/>
    </w:p>
    <w:p w14:paraId="758A26CD">
      <w:pPr>
        <w:pStyle w:val="5"/>
        <w:spacing w:before="217" w:after="217"/>
        <w:ind w:firstLine="640"/>
        <w:rPr>
          <w:rFonts w:cs="Times New Roman"/>
        </w:rPr>
      </w:pPr>
      <w:r>
        <w:rPr>
          <w:rFonts w:cs="Times New Roman"/>
        </w:rPr>
        <w:t>以义安区为核心，拓展郊区、枞阳县等适宜区域，建设观赏类凤丹规模化、标准化种植示范基地，提升观赏类凤丹种植规模和专业化生产能力；市域范围内建设一批四季盆花生产基地，实现全年反季节凤丹盆栽花持续供应，鼓励农房房前屋后、和美乡村、公园等种植观赏类凤丹。依托中国（安徽）自由贸易试验区铜陵联动创新区建设和国家跨境电商综试区申建，在义安区、郊区、枞阳县等丘陵山区、石灰岩区建设凤丹鲜切花基地，重点扩大凤丹白品种鲜切花种植规模，完善鲜切花出口配套的加工储运、检验检疫等技术体系，打造凤丹鲜切花示范种植及出口基地。立足国家牡丹栽培综合标准化示范区、安徽省凤丹生产标准化示范区建设，充分发挥凤丹科技、北京同仁堂等龙头企业辐射带动作用，以顺安镇、钟鸣镇、天门镇为核心建设一批绿色、有机凤丹种植基地，有序推进新桥街道山场、排土场建设凤丹标准化种植基地，加快铜陵国家农业科技园区</w:t>
      </w:r>
      <w:r>
        <w:rPr>
          <w:rFonts w:hint="eastAsia" w:cs="Times New Roman"/>
        </w:rPr>
        <w:t>凤</w:t>
      </w:r>
      <w:r>
        <w:rPr>
          <w:rFonts w:cs="Times New Roman"/>
        </w:rPr>
        <w:t>丹规范化种植基地、中药牡丹GAP种植基地等项目建设。通过牡丹与中药材间作、凤丹核桃套种、毛桐树套种等技术挖潜林下经济，利用各区县丘陵、坡地、宜林荒山荒地、林地等扩大林下凤丹种植面积。支持</w:t>
      </w:r>
      <w:r>
        <w:rPr>
          <w:rFonts w:hint="eastAsia" w:cs="Times New Roman"/>
        </w:rPr>
        <w:t>市内凤丹龙头企业等</w:t>
      </w:r>
      <w:r>
        <w:rPr>
          <w:rFonts w:cs="Times New Roman"/>
        </w:rPr>
        <w:t>在四川、陕西、山西“飞地”种植拓展域外凤丹面积。联合铜陵白姜等特色产业，推进全国消费帮扶重点产区建设。</w:t>
      </w:r>
    </w:p>
    <w:p w14:paraId="4FFF8F37">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表4-2 铜陵市凤丹种植面积规划表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1985"/>
        <w:gridCol w:w="1984"/>
        <w:gridCol w:w="2064"/>
      </w:tblGrid>
      <w:tr w14:paraId="04B8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A261DDB">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1559" w:type="dxa"/>
          </w:tcPr>
          <w:p w14:paraId="43540B1D">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区（县）名称</w:t>
            </w:r>
          </w:p>
        </w:tc>
        <w:tc>
          <w:tcPr>
            <w:tcW w:w="1985" w:type="dxa"/>
          </w:tcPr>
          <w:p w14:paraId="0A3B25FD">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主要分布乡镇</w:t>
            </w:r>
          </w:p>
        </w:tc>
        <w:tc>
          <w:tcPr>
            <w:tcW w:w="1984" w:type="dxa"/>
          </w:tcPr>
          <w:p w14:paraId="1A2D1535">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202</w:t>
            </w:r>
            <w:r>
              <w:rPr>
                <w:rFonts w:hint="eastAsia" w:cs="Times New Roman"/>
                <w:b/>
                <w:bCs/>
                <w:sz w:val="21"/>
                <w:szCs w:val="21"/>
              </w:rPr>
              <w:t>7</w:t>
            </w:r>
            <w:r>
              <w:rPr>
                <w:rFonts w:cs="Times New Roman"/>
                <w:b/>
                <w:bCs/>
                <w:sz w:val="21"/>
                <w:szCs w:val="21"/>
              </w:rPr>
              <w:t>年面积（亩）</w:t>
            </w:r>
          </w:p>
        </w:tc>
        <w:tc>
          <w:tcPr>
            <w:tcW w:w="2064" w:type="dxa"/>
          </w:tcPr>
          <w:p w14:paraId="4E9351DE">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2030年面积（亩）</w:t>
            </w:r>
          </w:p>
        </w:tc>
      </w:tr>
      <w:tr w14:paraId="0EF5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704" w:type="dxa"/>
            <w:vAlign w:val="center"/>
          </w:tcPr>
          <w:p w14:paraId="38055DF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1559" w:type="dxa"/>
            <w:vAlign w:val="center"/>
          </w:tcPr>
          <w:p w14:paraId="40F3711A">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义安区</w:t>
            </w:r>
          </w:p>
        </w:tc>
        <w:tc>
          <w:tcPr>
            <w:tcW w:w="1985" w:type="dxa"/>
            <w:vAlign w:val="center"/>
          </w:tcPr>
          <w:p w14:paraId="5646C32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顺安镇、钟鸣镇、天门镇、新桥办等</w:t>
            </w:r>
          </w:p>
        </w:tc>
        <w:tc>
          <w:tcPr>
            <w:tcW w:w="1984" w:type="dxa"/>
            <w:vAlign w:val="center"/>
          </w:tcPr>
          <w:p w14:paraId="73B92DF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10000</w:t>
            </w:r>
          </w:p>
        </w:tc>
        <w:tc>
          <w:tcPr>
            <w:tcW w:w="2064" w:type="dxa"/>
            <w:vAlign w:val="center"/>
          </w:tcPr>
          <w:p w14:paraId="22256088">
            <w:pPr>
              <w:pStyle w:val="5"/>
              <w:adjustRightInd w:val="0"/>
              <w:snapToGrid w:val="0"/>
              <w:spacing w:before="0" w:beforeLines="0" w:after="0" w:afterLines="0" w:line="240" w:lineRule="auto"/>
              <w:ind w:firstLine="0" w:firstLineChars="0"/>
              <w:jc w:val="center"/>
              <w:rPr>
                <w:rFonts w:cs="Times New Roman"/>
                <w:sz w:val="21"/>
                <w:szCs w:val="21"/>
                <w:highlight w:val="yellow"/>
              </w:rPr>
            </w:pPr>
            <w:r>
              <w:rPr>
                <w:rFonts w:cs="Times New Roman"/>
                <w:sz w:val="21"/>
                <w:szCs w:val="21"/>
              </w:rPr>
              <w:t>2</w:t>
            </w:r>
            <w:r>
              <w:rPr>
                <w:rFonts w:hint="eastAsia" w:cs="Times New Roman"/>
                <w:sz w:val="21"/>
                <w:szCs w:val="21"/>
              </w:rPr>
              <w:t>1</w:t>
            </w:r>
            <w:r>
              <w:rPr>
                <w:rFonts w:cs="Times New Roman"/>
                <w:sz w:val="21"/>
                <w:szCs w:val="21"/>
              </w:rPr>
              <w:t>000</w:t>
            </w:r>
          </w:p>
        </w:tc>
      </w:tr>
      <w:tr w14:paraId="7B33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94EB22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1559" w:type="dxa"/>
            <w:vAlign w:val="center"/>
          </w:tcPr>
          <w:p w14:paraId="0B1537E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铜官区</w:t>
            </w:r>
          </w:p>
        </w:tc>
        <w:tc>
          <w:tcPr>
            <w:tcW w:w="1985" w:type="dxa"/>
            <w:vAlign w:val="center"/>
          </w:tcPr>
          <w:p w14:paraId="480E08B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西湖镇等</w:t>
            </w:r>
          </w:p>
        </w:tc>
        <w:tc>
          <w:tcPr>
            <w:tcW w:w="1984" w:type="dxa"/>
            <w:vAlign w:val="center"/>
          </w:tcPr>
          <w:p w14:paraId="5D71E525">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1</w:t>
            </w:r>
            <w:r>
              <w:rPr>
                <w:rFonts w:cs="Times New Roman"/>
                <w:sz w:val="21"/>
                <w:szCs w:val="21"/>
              </w:rPr>
              <w:t>000</w:t>
            </w:r>
          </w:p>
        </w:tc>
        <w:tc>
          <w:tcPr>
            <w:tcW w:w="2064" w:type="dxa"/>
            <w:vAlign w:val="center"/>
          </w:tcPr>
          <w:p w14:paraId="757095E7">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2</w:t>
            </w:r>
            <w:r>
              <w:rPr>
                <w:rFonts w:cs="Times New Roman"/>
                <w:sz w:val="21"/>
                <w:szCs w:val="21"/>
              </w:rPr>
              <w:t>000</w:t>
            </w:r>
          </w:p>
        </w:tc>
      </w:tr>
      <w:tr w14:paraId="3E45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A85A20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1559" w:type="dxa"/>
            <w:vAlign w:val="center"/>
          </w:tcPr>
          <w:p w14:paraId="43A5B9F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郊区</w:t>
            </w:r>
          </w:p>
        </w:tc>
        <w:tc>
          <w:tcPr>
            <w:tcW w:w="1985" w:type="dxa"/>
            <w:vAlign w:val="center"/>
          </w:tcPr>
          <w:p w14:paraId="47DB0C6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老洲镇、周潭镇、铜山镇等</w:t>
            </w:r>
          </w:p>
        </w:tc>
        <w:tc>
          <w:tcPr>
            <w:tcW w:w="1984" w:type="dxa"/>
            <w:vAlign w:val="center"/>
          </w:tcPr>
          <w:p w14:paraId="3977613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3000</w:t>
            </w:r>
          </w:p>
        </w:tc>
        <w:tc>
          <w:tcPr>
            <w:tcW w:w="2064" w:type="dxa"/>
            <w:vAlign w:val="center"/>
          </w:tcPr>
          <w:p w14:paraId="33D99C14">
            <w:pPr>
              <w:pStyle w:val="5"/>
              <w:adjustRightInd w:val="0"/>
              <w:snapToGrid w:val="0"/>
              <w:spacing w:before="0" w:beforeLines="0" w:after="0" w:afterLines="0" w:line="240" w:lineRule="auto"/>
              <w:ind w:firstLine="0" w:firstLineChars="0"/>
              <w:jc w:val="center"/>
              <w:rPr>
                <w:rFonts w:cs="Times New Roman"/>
                <w:sz w:val="21"/>
                <w:szCs w:val="21"/>
              </w:rPr>
            </w:pPr>
            <w:r>
              <w:rPr>
                <w:rFonts w:hint="eastAsia" w:cs="Times New Roman"/>
                <w:sz w:val="21"/>
                <w:szCs w:val="21"/>
              </w:rPr>
              <w:t>7</w:t>
            </w:r>
            <w:r>
              <w:rPr>
                <w:rFonts w:cs="Times New Roman"/>
                <w:sz w:val="21"/>
                <w:szCs w:val="21"/>
              </w:rPr>
              <w:t>000</w:t>
            </w:r>
          </w:p>
        </w:tc>
      </w:tr>
      <w:tr w14:paraId="0E2C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704" w:type="dxa"/>
            <w:vAlign w:val="center"/>
          </w:tcPr>
          <w:p w14:paraId="09588DC8">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1559" w:type="dxa"/>
            <w:vAlign w:val="center"/>
          </w:tcPr>
          <w:p w14:paraId="2543E489">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枞阳县</w:t>
            </w:r>
          </w:p>
        </w:tc>
        <w:tc>
          <w:tcPr>
            <w:tcW w:w="1985" w:type="dxa"/>
            <w:vAlign w:val="center"/>
          </w:tcPr>
          <w:p w14:paraId="38A31C0F">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雨坛镇、枞阳镇、麒麟镇等</w:t>
            </w:r>
          </w:p>
        </w:tc>
        <w:tc>
          <w:tcPr>
            <w:tcW w:w="1984" w:type="dxa"/>
            <w:vAlign w:val="center"/>
          </w:tcPr>
          <w:p w14:paraId="64783F71">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5000</w:t>
            </w:r>
          </w:p>
        </w:tc>
        <w:tc>
          <w:tcPr>
            <w:tcW w:w="2064" w:type="dxa"/>
            <w:vAlign w:val="center"/>
          </w:tcPr>
          <w:p w14:paraId="7426C3A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10000</w:t>
            </w:r>
          </w:p>
        </w:tc>
      </w:tr>
    </w:tbl>
    <w:p w14:paraId="5565F64E">
      <w:pPr>
        <w:pStyle w:val="4"/>
        <w:rPr>
          <w:rFonts w:cs="Times New Roman"/>
        </w:rPr>
      </w:pPr>
      <w:bookmarkStart w:id="65" w:name="_Toc180020986"/>
      <w:bookmarkStart w:id="66" w:name="_Toc180074436"/>
      <w:bookmarkStart w:id="67" w:name="_Toc173425535"/>
      <w:r>
        <w:rPr>
          <w:rFonts w:cs="Times New Roman"/>
        </w:rPr>
        <w:t>3、深入凤丹加工产业链补短板</w:t>
      </w:r>
      <w:bookmarkEnd w:id="65"/>
      <w:bookmarkEnd w:id="66"/>
      <w:bookmarkEnd w:id="67"/>
    </w:p>
    <w:p w14:paraId="43A6E733">
      <w:pPr>
        <w:pStyle w:val="5"/>
        <w:spacing w:before="217" w:after="217"/>
        <w:ind w:firstLine="640"/>
        <w:rPr>
          <w:rFonts w:cs="Times New Roman"/>
        </w:rPr>
      </w:pPr>
      <w:r>
        <w:rPr>
          <w:rFonts w:cs="Times New Roman"/>
        </w:rPr>
        <w:t>立足凤丹种植基础，</w:t>
      </w:r>
      <w:r>
        <w:rPr>
          <w:rFonts w:hint="eastAsia" w:cs="Times New Roman"/>
          <w:lang w:val="en-US" w:eastAsia="zh-CN"/>
        </w:rPr>
        <w:t>发挥食药同源优势，</w:t>
      </w:r>
      <w:r>
        <w:rPr>
          <w:rFonts w:cs="Times New Roman"/>
        </w:rPr>
        <w:t>加快推进凤丹花瓣、花蕊、籽、根、茎全部位综合开发利用，打造以铜陵国家农业科技园区为核心的凤丹精深加工产业集群。重点推进凤丹花瓣、花蕊、丹皮、籽毛油、食用菌培植原料、饲料添加籽粕等初加工产品发展，完善初加工产品分级、分类体系；提升凤丹皮产品质量和产品规格等级，创新中药材炮制技术，拓展布局舒筋活血、解暑降温、抗心血管系统疾病类中药饮片、中成药等创新植物药；加强凤丹药食同源产品、</w:t>
      </w:r>
      <w:r>
        <w:rPr>
          <w:rFonts w:hint="eastAsia" w:cs="Times New Roman"/>
        </w:rPr>
        <w:t>保健食品</w:t>
      </w:r>
      <w:r>
        <w:rPr>
          <w:rFonts w:cs="Times New Roman"/>
        </w:rPr>
        <w:t>开发，重点发展高端食用油、口服乳剂及具有增强免疫、消除疲劳、睡眠助眠、保护心脑血管、益智等功能的软糖、含片、饮品、零食等； 强化丹皮酚、芍药苷、丹皮苷、丹皮多糖、苯甲酸、甾醇、挥发油、白藜芦醇、角鲨烯、牡丹花肽等凤丹生物活性原料开发利用，延伸布局牙膏、香皂、花露水等日化用品产业，重点开发</w:t>
      </w:r>
      <w:r>
        <w:rPr>
          <w:rFonts w:cs="Times New Roman"/>
          <w:color w:val="1E1E1E"/>
          <w:szCs w:val="32"/>
          <w:shd w:val="clear" w:color="auto" w:fill="FFFFFF"/>
        </w:rPr>
        <w:t>具有祛斑、保湿、美白、防晒、延缓衰老、抑菌消炎等功能的植物性美容护肤产品，</w:t>
      </w:r>
      <w:r>
        <w:rPr>
          <w:rFonts w:cs="Times New Roman"/>
        </w:rPr>
        <w:t>探索凤丹生物活性原料在合成生物、生物制药、先进材料等领域应用。</w:t>
      </w:r>
    </w:p>
    <w:p w14:paraId="750079B3">
      <w:pPr>
        <w:pStyle w:val="4"/>
        <w:rPr>
          <w:rFonts w:cs="Times New Roman"/>
        </w:rPr>
      </w:pPr>
      <w:bookmarkStart w:id="68" w:name="_Toc173425541"/>
      <w:bookmarkStart w:id="69" w:name="_Toc180074437"/>
      <w:bookmarkStart w:id="70" w:name="_Toc180020987"/>
      <w:r>
        <w:rPr>
          <w:rFonts w:cs="Times New Roman"/>
        </w:rPr>
        <w:t>4、加快凤丹产业市场主体培育</w:t>
      </w:r>
      <w:bookmarkEnd w:id="68"/>
      <w:bookmarkEnd w:id="69"/>
      <w:bookmarkEnd w:id="70"/>
    </w:p>
    <w:p w14:paraId="2E49B0A1">
      <w:pPr>
        <w:pStyle w:val="5"/>
        <w:spacing w:before="217" w:after="217"/>
        <w:ind w:firstLine="640"/>
        <w:rPr>
          <w:rFonts w:cs="Times New Roman"/>
        </w:rPr>
      </w:pPr>
      <w:r>
        <w:rPr>
          <w:rFonts w:cs="Times New Roman"/>
        </w:rPr>
        <w:t>深入实施省政府“百千万工程”支持新型经营主体发展行动等，梯度培育壮大凤丹产业领域国家、省、市农业产业化龙头企业群体，培育凤丹全产业链“链主”企业，引导中小微企业“专精特新”发展，用足用好“星期六会商”等平台，</w:t>
      </w:r>
      <w:r>
        <w:rPr>
          <w:rFonts w:hint="eastAsia" w:cs="Times New Roman"/>
        </w:rPr>
        <w:t>围绕产业链上下游延链、补链、强链，着力开展招大引强、招精选优，</w:t>
      </w:r>
      <w:r>
        <w:rPr>
          <w:rFonts w:cs="Times New Roman"/>
        </w:rPr>
        <w:t>探索组建铜陵市凤丹产业集团，谋划申报超长期国债项目。深化农民专业合作社规范提升行动，支持有条件的凤丹农民专业合作社积极开展生产、供销、信用合作，鼓励凤丹上下游合作社联合组建联合社，培育发展一批百万元凤丹专业合作组织及国家级、省级、市级示范社。深入实施家庭农场培育计划，引导和鼓励乡村本土能人、退伍军人、返乡大学生等领办家庭农场，鼓励和支持有长期稳定凤丹种植意愿的农户适度扩大经营规模向种植大户和适度规模家庭农场发展，支持家庭农场创建国家级、省级、市级示范家庭农场。完善凤丹社会化服务组织建设，推广义安区供销社“支部+供销社+农户”特色农业服务新模式，鼓励龙头企业联合供销社建设凤丹为农服务中心，支持村集体经济建设集植保飞防、农机服务、技术培训等为一体的凤丹综合服务中心。</w:t>
      </w:r>
    </w:p>
    <w:p w14:paraId="5C09D9D7">
      <w:pPr>
        <w:pStyle w:val="5"/>
        <w:spacing w:before="0" w:beforeLines="0" w:after="0" w:afterLines="0" w:line="240" w:lineRule="auto"/>
        <w:ind w:firstLine="0" w:firstLineChars="0"/>
        <w:jc w:val="center"/>
        <w:rPr>
          <w:rFonts w:cs="Times New Roman"/>
          <w:b/>
          <w:bCs/>
          <w:sz w:val="28"/>
          <w:szCs w:val="28"/>
        </w:rPr>
      </w:pPr>
      <w:r>
        <w:rPr>
          <w:rFonts w:cs="Times New Roman"/>
          <w:b/>
          <w:bCs/>
          <w:sz w:val="28"/>
          <w:szCs w:val="28"/>
        </w:rPr>
        <w:t>表4-3凤丹精深加工领域全国代表性企业汇总</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602"/>
        <w:gridCol w:w="4077"/>
        <w:gridCol w:w="2120"/>
      </w:tblGrid>
      <w:tr w14:paraId="3D8F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00F706A5">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序号</w:t>
            </w:r>
          </w:p>
        </w:tc>
        <w:tc>
          <w:tcPr>
            <w:tcW w:w="940" w:type="pct"/>
            <w:vAlign w:val="center"/>
          </w:tcPr>
          <w:p w14:paraId="1FC68CE2">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行业领域名称</w:t>
            </w:r>
          </w:p>
        </w:tc>
        <w:tc>
          <w:tcPr>
            <w:tcW w:w="2392" w:type="pct"/>
            <w:vAlign w:val="center"/>
          </w:tcPr>
          <w:p w14:paraId="1F1782A3">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代表性企业名称</w:t>
            </w:r>
          </w:p>
        </w:tc>
        <w:tc>
          <w:tcPr>
            <w:tcW w:w="1244" w:type="pct"/>
            <w:vAlign w:val="center"/>
          </w:tcPr>
          <w:p w14:paraId="63FB5F99">
            <w:pPr>
              <w:pStyle w:val="5"/>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备注</w:t>
            </w:r>
          </w:p>
        </w:tc>
      </w:tr>
      <w:tr w14:paraId="4D82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3E3686A6">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1</w:t>
            </w:r>
          </w:p>
        </w:tc>
        <w:tc>
          <w:tcPr>
            <w:tcW w:w="940" w:type="pct"/>
            <w:vAlign w:val="center"/>
          </w:tcPr>
          <w:p w14:paraId="4CD85E6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中药饮片、中药配方颗粒、中成药</w:t>
            </w:r>
          </w:p>
        </w:tc>
        <w:tc>
          <w:tcPr>
            <w:tcW w:w="2392" w:type="pct"/>
            <w:vAlign w:val="center"/>
          </w:tcPr>
          <w:p w14:paraId="23AA75ED">
            <w:pPr>
              <w:pStyle w:val="5"/>
              <w:adjustRightInd w:val="0"/>
              <w:snapToGrid w:val="0"/>
              <w:spacing w:before="0" w:beforeLines="0" w:after="0" w:afterLines="0" w:line="240" w:lineRule="auto"/>
              <w:ind w:firstLine="0" w:firstLineChars="0"/>
              <w:rPr>
                <w:rFonts w:cs="Times New Roman"/>
                <w:sz w:val="21"/>
                <w:szCs w:val="21"/>
              </w:rPr>
            </w:pPr>
            <w:r>
              <w:rPr>
                <w:rFonts w:cs="Times New Roman"/>
                <w:sz w:val="21"/>
                <w:szCs w:val="21"/>
              </w:rPr>
              <w:t>中国中药、‌华润三九、‌红日药业、‌香雪制药、‌太龙药业、‌新荷花、‌新绿色药业、神威集团、修正集团、瑞华制药、李时珍医药集团、海王金象、天目药业、仲景宛西制药、汇仁集团、九芝堂、同仁堂等</w:t>
            </w:r>
          </w:p>
        </w:tc>
        <w:tc>
          <w:tcPr>
            <w:tcW w:w="1244" w:type="pct"/>
            <w:vAlign w:val="center"/>
          </w:tcPr>
          <w:p w14:paraId="5D7ADD23">
            <w:pPr>
              <w:pStyle w:val="5"/>
              <w:adjustRightInd w:val="0"/>
              <w:snapToGrid w:val="0"/>
              <w:spacing w:before="0" w:beforeLines="0" w:after="0" w:afterLines="0" w:line="240" w:lineRule="auto"/>
              <w:ind w:firstLine="0" w:firstLineChars="0"/>
              <w:rPr>
                <w:rFonts w:cs="Times New Roman"/>
                <w:sz w:val="21"/>
                <w:szCs w:val="21"/>
              </w:rPr>
            </w:pPr>
            <w:r>
              <w:rPr>
                <w:rFonts w:cs="Times New Roman"/>
                <w:sz w:val="21"/>
                <w:szCs w:val="21"/>
              </w:rPr>
              <w:t>汇仁集团、九芝堂、同仁堂、修正集团、瑞华制药、李时珍医药集团、天目药业、仲景宛西制药等需求量靠前</w:t>
            </w:r>
          </w:p>
        </w:tc>
      </w:tr>
      <w:tr w14:paraId="2AB3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205AD9F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2</w:t>
            </w:r>
          </w:p>
        </w:tc>
        <w:tc>
          <w:tcPr>
            <w:tcW w:w="940" w:type="pct"/>
            <w:vAlign w:val="center"/>
          </w:tcPr>
          <w:p w14:paraId="5867916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功能食品</w:t>
            </w:r>
          </w:p>
        </w:tc>
        <w:tc>
          <w:tcPr>
            <w:tcW w:w="2392" w:type="pct"/>
            <w:vAlign w:val="center"/>
          </w:tcPr>
          <w:p w14:paraId="1842AFC8">
            <w:pPr>
              <w:pStyle w:val="5"/>
              <w:adjustRightInd w:val="0"/>
              <w:snapToGrid w:val="0"/>
              <w:spacing w:before="0" w:beforeLines="0" w:after="0" w:afterLines="0" w:line="240" w:lineRule="auto"/>
              <w:ind w:firstLine="0" w:firstLineChars="0"/>
              <w:rPr>
                <w:rFonts w:cs="Times New Roman"/>
                <w:sz w:val="21"/>
                <w:szCs w:val="21"/>
              </w:rPr>
            </w:pPr>
            <w:r>
              <w:rPr>
                <w:rFonts w:cs="Times New Roman"/>
                <w:sz w:val="21"/>
                <w:szCs w:val="21"/>
              </w:rPr>
              <w:t>汤臣倍健、健康元、金达威、百龙创园、保龄宝生物、阜丰集团、百合股份、艾兰得、德之馨等</w:t>
            </w:r>
          </w:p>
        </w:tc>
        <w:tc>
          <w:tcPr>
            <w:tcW w:w="1244" w:type="pct"/>
            <w:vAlign w:val="center"/>
          </w:tcPr>
          <w:p w14:paraId="515E537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w:t>
            </w:r>
          </w:p>
        </w:tc>
      </w:tr>
      <w:tr w14:paraId="60F4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4E5850F0">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3</w:t>
            </w:r>
          </w:p>
        </w:tc>
        <w:tc>
          <w:tcPr>
            <w:tcW w:w="940" w:type="pct"/>
            <w:vAlign w:val="center"/>
          </w:tcPr>
          <w:p w14:paraId="2D25EE37">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植物提取物</w:t>
            </w:r>
          </w:p>
        </w:tc>
        <w:tc>
          <w:tcPr>
            <w:tcW w:w="2392" w:type="pct"/>
            <w:vAlign w:val="center"/>
          </w:tcPr>
          <w:p w14:paraId="23308475">
            <w:pPr>
              <w:pStyle w:val="5"/>
              <w:adjustRightInd w:val="0"/>
              <w:snapToGrid w:val="0"/>
              <w:spacing w:before="0" w:beforeLines="0" w:after="0" w:afterLines="0" w:line="240" w:lineRule="auto"/>
              <w:ind w:firstLine="0" w:firstLineChars="0"/>
              <w:rPr>
                <w:rFonts w:cs="Times New Roman"/>
                <w:sz w:val="21"/>
                <w:szCs w:val="21"/>
              </w:rPr>
            </w:pPr>
            <w:r>
              <w:rPr>
                <w:rFonts w:cs="Times New Roman"/>
                <w:sz w:val="21"/>
                <w:szCs w:val="21"/>
              </w:rPr>
              <w:t>晨光生物、莱茵生物、重庆骄王、龙池牡丹、尧舜牡丹生物科技、精方药业、陕西慧科、上禾生物科技、美馨生物、西安源森生物、嘉禾生物、天津尖峰天然产物、杭州瑞树生化、陕西慈缘生物、宜春大海龟等</w:t>
            </w:r>
          </w:p>
        </w:tc>
        <w:tc>
          <w:tcPr>
            <w:tcW w:w="1244" w:type="pct"/>
            <w:vAlign w:val="center"/>
          </w:tcPr>
          <w:p w14:paraId="17563321">
            <w:pPr>
              <w:pStyle w:val="5"/>
              <w:adjustRightInd w:val="0"/>
              <w:snapToGrid w:val="0"/>
              <w:spacing w:before="0" w:beforeLines="0" w:after="0" w:afterLines="0" w:line="240" w:lineRule="auto"/>
              <w:ind w:firstLine="0" w:firstLineChars="0"/>
              <w:rPr>
                <w:rFonts w:cs="Times New Roman"/>
                <w:sz w:val="21"/>
                <w:szCs w:val="21"/>
              </w:rPr>
            </w:pPr>
            <w:r>
              <w:rPr>
                <w:rFonts w:cs="Times New Roman"/>
                <w:sz w:val="21"/>
                <w:szCs w:val="21"/>
              </w:rPr>
              <w:t>丹皮酚、白藜芦醇、角鲨烯等提取物是当前市场研究热点</w:t>
            </w:r>
          </w:p>
        </w:tc>
      </w:tr>
      <w:tr w14:paraId="1D0B0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vAlign w:val="center"/>
          </w:tcPr>
          <w:p w14:paraId="14BEE75C">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4</w:t>
            </w:r>
          </w:p>
        </w:tc>
        <w:tc>
          <w:tcPr>
            <w:tcW w:w="940" w:type="pct"/>
            <w:vAlign w:val="center"/>
          </w:tcPr>
          <w:p w14:paraId="7ABE6C04">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美妆及日化</w:t>
            </w:r>
          </w:p>
        </w:tc>
        <w:tc>
          <w:tcPr>
            <w:tcW w:w="2392" w:type="pct"/>
            <w:vAlign w:val="center"/>
          </w:tcPr>
          <w:p w14:paraId="7642CD1C">
            <w:pPr>
              <w:pStyle w:val="5"/>
              <w:adjustRightInd w:val="0"/>
              <w:snapToGrid w:val="0"/>
              <w:spacing w:before="0" w:beforeLines="0" w:after="0" w:afterLines="0" w:line="240" w:lineRule="auto"/>
              <w:ind w:firstLine="0" w:firstLineChars="0"/>
              <w:rPr>
                <w:rFonts w:cs="Times New Roman"/>
                <w:sz w:val="21"/>
                <w:szCs w:val="21"/>
              </w:rPr>
            </w:pPr>
            <w:r>
              <w:rPr>
                <w:rFonts w:cs="Times New Roman"/>
                <w:sz w:val="21"/>
                <w:szCs w:val="21"/>
              </w:rPr>
              <w:t>花皙蔻、植物医生、左颜右色、自然堂、佰草集、相宜本草、贝泰妮、福瑞达、科丝美诗、克劳丽、贝豪集团、莱博药妆、尧舜牡丹生物科技、上海家化等</w:t>
            </w:r>
          </w:p>
        </w:tc>
        <w:tc>
          <w:tcPr>
            <w:tcW w:w="1244" w:type="pct"/>
            <w:vAlign w:val="center"/>
          </w:tcPr>
          <w:p w14:paraId="7BC3AE85">
            <w:pPr>
              <w:pStyle w:val="5"/>
              <w:adjustRightInd w:val="0"/>
              <w:snapToGrid w:val="0"/>
              <w:spacing w:before="0" w:beforeLines="0" w:after="0" w:afterLines="0" w:line="240" w:lineRule="auto"/>
              <w:ind w:firstLine="0" w:firstLineChars="0"/>
              <w:jc w:val="center"/>
              <w:rPr>
                <w:rFonts w:cs="Times New Roman"/>
                <w:sz w:val="21"/>
                <w:szCs w:val="21"/>
              </w:rPr>
            </w:pPr>
            <w:r>
              <w:rPr>
                <w:rFonts w:cs="Times New Roman"/>
                <w:sz w:val="21"/>
                <w:szCs w:val="21"/>
              </w:rPr>
              <w:t>——</w:t>
            </w:r>
          </w:p>
        </w:tc>
      </w:tr>
    </w:tbl>
    <w:p w14:paraId="4C2C3A9A">
      <w:pPr>
        <w:pStyle w:val="4"/>
        <w:rPr>
          <w:rFonts w:cs="Times New Roman"/>
          <w:shd w:val="clear" w:color="auto" w:fill="FFFFFF"/>
        </w:rPr>
      </w:pPr>
      <w:bookmarkStart w:id="71" w:name="_Toc180074438"/>
      <w:bookmarkStart w:id="72" w:name="_Toc180020988"/>
      <w:r>
        <w:rPr>
          <w:rFonts w:cs="Times New Roman"/>
          <w:shd w:val="clear" w:color="auto" w:fill="FFFFFF"/>
        </w:rPr>
        <w:t>5、完善凤丹市场流通体系建设</w:t>
      </w:r>
      <w:bookmarkEnd w:id="71"/>
      <w:bookmarkEnd w:id="72"/>
    </w:p>
    <w:p w14:paraId="60307641">
      <w:pPr>
        <w:pStyle w:val="5"/>
        <w:spacing w:before="217" w:after="217"/>
        <w:ind w:firstLine="640"/>
        <w:rPr>
          <w:rFonts w:cs="Times New Roman"/>
        </w:rPr>
      </w:pPr>
      <w:r>
        <w:rPr>
          <w:rFonts w:cs="Times New Roman"/>
        </w:rPr>
        <w:t>加快推进凤丹专业市场建设，谋划在义安区建设铜陵鲜切花交易中心、南方牡丹种质资源交易中心，推进皖南中药材交易仓储物流加工基地建设，强化与亳州中药材商品交易中心、昆明斗南鲜切花交易中心等合作，完善铜陵中药材种质资源保护、仓储、物流、集散、交易、出口贸易等功能。强化仓储物流加工基地与</w:t>
      </w:r>
      <w:r>
        <w:rPr>
          <w:rFonts w:hint="eastAsia" w:cs="Times New Roman"/>
        </w:rPr>
        <w:t>拟</w:t>
      </w:r>
      <w:r>
        <w:rPr>
          <w:rFonts w:cs="Times New Roman"/>
        </w:rPr>
        <w:t>规划</w:t>
      </w:r>
      <w:r>
        <w:rPr>
          <w:rFonts w:hint="eastAsia" w:cs="Times New Roman"/>
        </w:rPr>
        <w:t>建设的</w:t>
      </w:r>
      <w:r>
        <w:rPr>
          <w:rFonts w:cs="Times New Roman"/>
        </w:rPr>
        <w:t>钟鸣铁路物流园、东港工业物流园、义安综合物流园等合作，构建完善的凤丹等中药材物流体系，助力皖南中药材集聚地建设。推进市域凤丹产品销售网点建设，设立一批凤丹产品直营店，加快</w:t>
      </w:r>
      <w:r>
        <w:rPr>
          <w:rFonts w:hint="eastAsia" w:cs="Times New Roman"/>
        </w:rPr>
        <w:t>市域重点商超</w:t>
      </w:r>
      <w:r>
        <w:rPr>
          <w:rFonts w:cs="Times New Roman"/>
        </w:rPr>
        <w:t>凤丹籽油产品直销点建设，支持凤丹加工产品、盆栽花等进入绿源农产品大市场、银杏商贸城花鸟市场。探索在</w:t>
      </w:r>
      <w:r>
        <w:rPr>
          <w:rFonts w:hint="eastAsia" w:cs="Times New Roman"/>
        </w:rPr>
        <w:t>上海、南京、杭州、</w:t>
      </w:r>
      <w:r>
        <w:rPr>
          <w:rFonts w:cs="Times New Roman"/>
        </w:rPr>
        <w:t>合肥</w:t>
      </w:r>
      <w:r>
        <w:rPr>
          <w:rFonts w:hint="eastAsia" w:cs="Times New Roman"/>
        </w:rPr>
        <w:t>等</w:t>
      </w:r>
      <w:r>
        <w:rPr>
          <w:rFonts w:cs="Times New Roman"/>
        </w:rPr>
        <w:t>国内重点城市</w:t>
      </w:r>
      <w:r>
        <w:rPr>
          <w:rFonts w:hint="eastAsia" w:cs="Times New Roman"/>
        </w:rPr>
        <w:t>建设</w:t>
      </w:r>
      <w:r>
        <w:rPr>
          <w:rFonts w:cs="Times New Roman"/>
        </w:rPr>
        <w:t>凤丹产品旗舰店、形象店。加快完善网络销售渠道，推进凤丹京东特产馆、天猫旗舰店等开设，探索与盒马鲜生、叮咚买菜等本地生活平台建立直供合作，强化与小红书、抖音、快手等直播电商平台及垂直类直播达人合作，全面畅通凤丹在线交易流通渠道。充分利用中国（铜陵）凤丹文化旅游</w:t>
      </w:r>
      <w:r>
        <w:rPr>
          <w:rFonts w:hint="eastAsia" w:cs="Times New Roman"/>
        </w:rPr>
        <w:t>月</w:t>
      </w:r>
      <w:r>
        <w:rPr>
          <w:rFonts w:cs="Times New Roman"/>
        </w:rPr>
        <w:t>、中国（铜陵）青铜文化博览会及农博会、广交会、农高会、上海农交会、合肥农交会等平台，加强凤丹产品展示和推介，提高凤丹产品知名度、影响力和市场占有率。</w:t>
      </w:r>
    </w:p>
    <w:p w14:paraId="2166F1DD">
      <w:pPr>
        <w:pStyle w:val="5"/>
        <w:pBdr>
          <w:top w:val="single" w:color="auto" w:sz="4" w:space="1"/>
          <w:left w:val="single" w:color="auto" w:sz="4" w:space="4"/>
          <w:right w:val="single" w:color="auto" w:sz="4" w:space="4"/>
        </w:pBdr>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专栏1：“产业凤丹”建设重点项目</w:t>
      </w:r>
    </w:p>
    <w:p w14:paraId="11578C76">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1、“牡丹籽油口服乳剂”生产线建设项目：</w:t>
      </w:r>
      <w:r>
        <w:rPr>
          <w:rFonts w:cs="Times New Roman"/>
          <w:sz w:val="21"/>
          <w:szCs w:val="21"/>
        </w:rPr>
        <w:t>总投资4000万元，建设周期2024-2025年，在铜陵国家农业科技园区建设牡丹籽油口服乳生产线及仓储等配套设施12000</w:t>
      </w:r>
      <w:r>
        <w:rPr>
          <w:rFonts w:eastAsia="Segoe UI Symbol" w:cs="Times New Roman"/>
          <w:sz w:val="21"/>
          <w:szCs w:val="21"/>
        </w:rPr>
        <w:t>㎡</w:t>
      </w:r>
      <w:r>
        <w:rPr>
          <w:rFonts w:cs="Times New Roman"/>
          <w:sz w:val="21"/>
          <w:szCs w:val="21"/>
        </w:rPr>
        <w:t>，形成年生产能力2400万瓶、240万盒（15克×10瓶/盒）的生产能力。</w:t>
      </w:r>
    </w:p>
    <w:p w14:paraId="7CE9EF57">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2、凤丹种苗培育及凤丹规范化种植基地建设项目：</w:t>
      </w:r>
      <w:r>
        <w:rPr>
          <w:rFonts w:cs="Times New Roman"/>
          <w:sz w:val="21"/>
          <w:szCs w:val="21"/>
        </w:rPr>
        <w:t>总投资550万元，建设周期2024</w:t>
      </w:r>
      <w:r>
        <w:rPr>
          <w:rFonts w:hint="eastAsia" w:cs="Times New Roman"/>
          <w:sz w:val="21"/>
          <w:szCs w:val="21"/>
        </w:rPr>
        <w:t>-2025</w:t>
      </w:r>
      <w:r>
        <w:rPr>
          <w:rFonts w:cs="Times New Roman"/>
          <w:sz w:val="21"/>
          <w:szCs w:val="21"/>
        </w:rPr>
        <w:t>年，在铜陵国家农业科技园区完成第一期400亩牡丹种植基地建设，其中：种苗培育基地50亩，凤丹牡丹规范化基地350亩。</w:t>
      </w:r>
    </w:p>
    <w:p w14:paraId="1AC920C6">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3、铜陵禾田中药道地中药材牡丹皮良种繁育基地项目：</w:t>
      </w:r>
      <w:r>
        <w:rPr>
          <w:rFonts w:cs="Times New Roman"/>
          <w:sz w:val="21"/>
          <w:szCs w:val="21"/>
        </w:rPr>
        <w:t>总投资150万元，建设周期2023-2025年，在义安区凤凰山村建立牡丹皮（凤丹）良种繁育基地69亩。</w:t>
      </w:r>
    </w:p>
    <w:p w14:paraId="07156C59">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4、铜陵禾田中药牡丹GAP种植基地项目：</w:t>
      </w:r>
      <w:r>
        <w:rPr>
          <w:rFonts w:cs="Times New Roman"/>
          <w:sz w:val="21"/>
          <w:szCs w:val="21"/>
        </w:rPr>
        <w:t>总投资700万元，建设周期2025-2029年，在义安区凤凰山村通过自繁种苗建立牡丹皮GAP种植基地700亩。</w:t>
      </w:r>
    </w:p>
    <w:p w14:paraId="2BABA3AD">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5、凤丹种苗培育项目：</w:t>
      </w:r>
      <w:r>
        <w:rPr>
          <w:rFonts w:cs="Times New Roman"/>
          <w:sz w:val="21"/>
          <w:szCs w:val="21"/>
        </w:rPr>
        <w:t>总投资100万元，建设周期2024-2025年，在铜陵国家农业科技园区建设种苗培育基地50亩。</w:t>
      </w:r>
    </w:p>
    <w:p w14:paraId="092F0CB1">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6、凤丹规范化种植基地项目：</w:t>
      </w:r>
      <w:r>
        <w:rPr>
          <w:rFonts w:cs="Times New Roman"/>
          <w:sz w:val="21"/>
          <w:szCs w:val="21"/>
        </w:rPr>
        <w:t>总投资500万元，建设周期2024-2028年，在铜陵国家农业科技园区建设凤丹规范化种植基地350亩。</w:t>
      </w:r>
    </w:p>
    <w:p w14:paraId="1B0131D5">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7、凤丹鲜切花、盆栽种苗温室大棚建设项目：</w:t>
      </w:r>
      <w:r>
        <w:rPr>
          <w:rFonts w:cs="Times New Roman"/>
          <w:sz w:val="21"/>
          <w:szCs w:val="21"/>
        </w:rPr>
        <w:t>总投资600万元，建设周期2026-2028年，在铜陵市全域建设2个凤丹鲜切花种苗基地、1个盆栽种苗基地，配套育苗机具、自动化滴灌、施肥、遮阴等基础设施。</w:t>
      </w:r>
    </w:p>
    <w:p w14:paraId="2C7EFF85">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8、皖南中药材交易仓储物流加工基地项目：</w:t>
      </w:r>
      <w:r>
        <w:rPr>
          <w:rFonts w:cs="Times New Roman"/>
          <w:sz w:val="21"/>
          <w:szCs w:val="21"/>
        </w:rPr>
        <w:t>总投资40055.33 万元，建设周期2024</w:t>
      </w:r>
      <w:r>
        <w:rPr>
          <w:rFonts w:hint="eastAsia" w:cs="Times New Roman"/>
          <w:sz w:val="21"/>
          <w:szCs w:val="21"/>
        </w:rPr>
        <w:t>-</w:t>
      </w:r>
      <w:r>
        <w:rPr>
          <w:rFonts w:cs="Times New Roman"/>
          <w:sz w:val="21"/>
          <w:szCs w:val="21"/>
        </w:rPr>
        <w:t>2027年，在铜陵国家农业科技园区建设育苗基因库（GAP 种植技术规范推广）、产地仓、加工仓、配送仓、中医药文化教育研学基地等，项目总用地80亩，总建筑面积45500平方米。</w:t>
      </w:r>
    </w:p>
    <w:p w14:paraId="711009DE">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9、凤丹“三店”建设项目：</w:t>
      </w:r>
      <w:r>
        <w:rPr>
          <w:rFonts w:cs="Times New Roman"/>
          <w:sz w:val="21"/>
          <w:szCs w:val="21"/>
        </w:rPr>
        <w:t>总投资400万元，建设周期2025-2030年，在全省范围内主要城市每年至少完成1家旗舰店或形象店及2家直营店建设，2025年完成凤丹京东特产馆、天猫旗舰店建设。</w:t>
      </w:r>
    </w:p>
    <w:p w14:paraId="19D816A1">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10、凤丹新型经营主体培育计划：</w:t>
      </w:r>
      <w:r>
        <w:rPr>
          <w:rFonts w:cs="Times New Roman"/>
          <w:sz w:val="21"/>
          <w:szCs w:val="21"/>
        </w:rPr>
        <w:t>总投资100万元，建设周期202</w:t>
      </w:r>
      <w:r>
        <w:rPr>
          <w:rFonts w:hint="eastAsia" w:cs="Times New Roman"/>
          <w:sz w:val="21"/>
          <w:szCs w:val="21"/>
        </w:rPr>
        <w:t>5</w:t>
      </w:r>
      <w:r>
        <w:rPr>
          <w:rFonts w:cs="Times New Roman"/>
          <w:sz w:val="21"/>
          <w:szCs w:val="21"/>
        </w:rPr>
        <w:t>-202</w:t>
      </w:r>
      <w:r>
        <w:rPr>
          <w:rFonts w:hint="eastAsia" w:cs="Times New Roman"/>
          <w:sz w:val="21"/>
          <w:szCs w:val="21"/>
        </w:rPr>
        <w:t>7</w:t>
      </w:r>
      <w:r>
        <w:rPr>
          <w:rFonts w:cs="Times New Roman"/>
          <w:sz w:val="21"/>
          <w:szCs w:val="21"/>
        </w:rPr>
        <w:t>年，培育新增市级以上龙头企业3家、农民专业合作社6家、家庭农产5家，其中培育新增高新技术企业2家。</w:t>
      </w:r>
    </w:p>
    <w:p w14:paraId="08FCE7AB">
      <w:pPr>
        <w:pStyle w:val="3"/>
        <w:spacing w:before="217" w:after="217"/>
        <w:ind w:firstLine="643"/>
        <w:rPr>
          <w:rFonts w:cs="Times New Roman"/>
          <w:b/>
          <w:bCs w:val="0"/>
        </w:rPr>
      </w:pPr>
      <w:bookmarkStart w:id="73" w:name="_Toc180074439"/>
      <w:r>
        <w:rPr>
          <w:rFonts w:cs="Times New Roman"/>
          <w:b/>
          <w:bCs w:val="0"/>
        </w:rPr>
        <w:t>二、实施科技创新赋能行动，打造科技凤丹</w:t>
      </w:r>
      <w:bookmarkEnd w:id="73"/>
    </w:p>
    <w:p w14:paraId="69503E85">
      <w:pPr>
        <w:pStyle w:val="4"/>
        <w:rPr>
          <w:rFonts w:cs="Times New Roman"/>
        </w:rPr>
      </w:pPr>
      <w:bookmarkStart w:id="74" w:name="_Toc180020990"/>
      <w:bookmarkStart w:id="75" w:name="_Toc173425538"/>
      <w:bookmarkStart w:id="76" w:name="_Toc180074440"/>
      <w:r>
        <w:rPr>
          <w:rFonts w:cs="Times New Roman"/>
        </w:rPr>
        <w:t>1、开展种质资源保护与创新利用</w:t>
      </w:r>
      <w:bookmarkEnd w:id="74"/>
      <w:bookmarkEnd w:id="75"/>
      <w:bookmarkEnd w:id="76"/>
    </w:p>
    <w:p w14:paraId="467B6562">
      <w:pPr>
        <w:pStyle w:val="5"/>
        <w:spacing w:before="217" w:after="217"/>
        <w:ind w:firstLine="640"/>
        <w:rPr>
          <w:rFonts w:cs="Times New Roman"/>
        </w:rPr>
      </w:pPr>
      <w:r>
        <w:rPr>
          <w:rFonts w:cs="Times New Roman"/>
        </w:rPr>
        <w:t>加快推进凤凰山凤丹省级林草种质资源库原地保存林、母树林、示范林、繁殖圃、试验林建设，争创国家级南方牡丹资源保护基地，完善南方牡丹基因库、标本信息库、种子信息库、图片资料库建设，筹建国家林草植物新品种铜陵测试站，强化凤丹白、凤丹粉、凤丹紫、凤丹玉、凤丹星、凤丹绫、凤丹韵等本地凤丹品种保护、改良、扩繁，引进、收集、保育适合江南生长的牡丹品种资源200</w:t>
      </w:r>
      <w:r>
        <w:rPr>
          <w:rFonts w:hint="eastAsia" w:cs="Times New Roman"/>
        </w:rPr>
        <w:t>种</w:t>
      </w:r>
      <w:r>
        <w:rPr>
          <w:rFonts w:cs="Times New Roman"/>
        </w:rPr>
        <w:t>以上。强化与中科院植物所、中国农科院蔬菜花卉研究所、上海辰山科学研究中心、中国农业大学、江南大学、安徽农科院、安徽农业大学、皖南医学院等</w:t>
      </w:r>
      <w:r>
        <w:rPr>
          <w:rFonts w:hint="eastAsia" w:cs="Times New Roman"/>
        </w:rPr>
        <w:t>高等院校、</w:t>
      </w:r>
      <w:r>
        <w:rPr>
          <w:rFonts w:cs="Times New Roman"/>
        </w:rPr>
        <w:t>科研院所合作，</w:t>
      </w:r>
      <w:r>
        <w:rPr>
          <w:rFonts w:hint="eastAsia" w:cs="Times New Roman"/>
        </w:rPr>
        <w:t>探索建立凤丹产业产学研合作联盟，开展技术对接会、研讨会等，鼓励产学研合作开展</w:t>
      </w:r>
      <w:r>
        <w:rPr>
          <w:rFonts w:cs="Times New Roman"/>
        </w:rPr>
        <w:t>植物活性物质筛选与再评价，推进花型大、花朵多、花期长、耐储藏的观赏、鲜切花凤丹品种及彩色凤丹品种等培育，保育产量高、出油率高、亚麻酸含量高、丹皮酚含量高的药油两用凤丹品种。</w:t>
      </w:r>
    </w:p>
    <w:p w14:paraId="06ED3E1E">
      <w:pPr>
        <w:pStyle w:val="4"/>
        <w:rPr>
          <w:rFonts w:cs="Times New Roman"/>
        </w:rPr>
      </w:pPr>
      <w:bookmarkStart w:id="77" w:name="_Toc173425539"/>
      <w:bookmarkStart w:id="78" w:name="_Toc180074441"/>
      <w:bookmarkStart w:id="79" w:name="_Toc180020991"/>
      <w:r>
        <w:rPr>
          <w:rFonts w:cs="Times New Roman"/>
        </w:rPr>
        <w:t>2、加强凤丹关键核心技术攻关</w:t>
      </w:r>
      <w:bookmarkEnd w:id="77"/>
      <w:bookmarkEnd w:id="78"/>
      <w:bookmarkEnd w:id="79"/>
    </w:p>
    <w:p w14:paraId="5674AC62">
      <w:pPr>
        <w:pStyle w:val="5"/>
        <w:spacing w:before="217" w:after="217"/>
        <w:ind w:firstLine="640"/>
        <w:rPr>
          <w:rFonts w:cs="Times New Roman"/>
        </w:rPr>
      </w:pPr>
      <w:r>
        <w:rPr>
          <w:rFonts w:cs="Times New Roman"/>
        </w:rPr>
        <w:t>依托</w:t>
      </w:r>
      <w:r>
        <w:rPr>
          <w:rFonts w:hint="eastAsia" w:cs="Times New Roman"/>
        </w:rPr>
        <w:t>国家、省、</w:t>
      </w:r>
      <w:r>
        <w:rPr>
          <w:rFonts w:cs="Times New Roman"/>
        </w:rPr>
        <w:t>市科技计划项目，支持企业联合科研院所（揭榜挂帅）开展凤丹产业相关共性技术、前沿技术等攻关，鼓励企业通过合作研发、委托研发等形式，开展凤丹鲜切花保鲜储运与延长花期、反季节催花、种苗工厂化快繁技术、生物活性原料亚临界萃取、低温冷榨制油、凤丹油脂提质保鲜等关键核心技术攻关。推进“牡丹籽”新食品原料开发及纳入国家卫健委新食品原料，强化凤丹</w:t>
      </w:r>
      <w:r>
        <w:rPr>
          <w:rFonts w:hint="eastAsia" w:cs="Times New Roman"/>
        </w:rPr>
        <w:t>保健食品</w:t>
      </w:r>
      <w:r>
        <w:rPr>
          <w:rFonts w:cs="Times New Roman"/>
        </w:rPr>
        <w:t>、天然植物性化妆品等技术、工艺、产品研发攻关。加强牡丹相关高校及大院大所对接，支持在铜建立科研基地、校外试验站等，开展凤丹间套做高效栽培技术、绿色防控技术等开展技术研究试验。实施凤丹专用机械研发攻关专项，优化提升育苗播种机械、起苗机械、苗木分拣包装机械、除草机械等适配性与工作效率，推进凤丹鲜切花清洗加工机械、凤丹移栽定植机械、凤丹籽实采收机械、花瓣花蕊烘干机械、牡丹种子加工机械及智能操控平台、北斗+专用机械等研发研制，前瞻布局基于作物生长算法、模型的凤丹成套技术装备研发，开展农机农艺融合应用试点。鼓励企业研发中心前瞻布局凤丹在生物医药中间材料、先进材料原料等领域应用的前沿交叉技术攻关。充分放大吉林大学（铜陵）国家技术转移中心、江南大学（铜陵）国家技术转移中心、安徽省农学会、皖南医学院等平台作用，强化凤丹产业技术需求挖掘对接，实现凤丹科技成果与技术需求顺畅衔接</w:t>
      </w:r>
      <w:r>
        <w:rPr>
          <w:rFonts w:hint="eastAsia" w:cs="Times New Roman"/>
        </w:rPr>
        <w:t>，鼓励企业推动凤丹产业创新成果转化应用，开发高附加值产品。</w:t>
      </w:r>
    </w:p>
    <w:p w14:paraId="5506213D">
      <w:pPr>
        <w:pStyle w:val="4"/>
        <w:rPr>
          <w:rFonts w:cs="Times New Roman"/>
        </w:rPr>
      </w:pPr>
      <w:bookmarkStart w:id="80" w:name="_Toc180020992"/>
      <w:bookmarkStart w:id="81" w:name="_Toc180074442"/>
      <w:bookmarkStart w:id="82" w:name="_Toc173425540"/>
      <w:r>
        <w:rPr>
          <w:rFonts w:cs="Times New Roman"/>
        </w:rPr>
        <w:t>3、完善产业技术创新平台建设</w:t>
      </w:r>
      <w:bookmarkEnd w:id="80"/>
      <w:bookmarkEnd w:id="81"/>
      <w:bookmarkEnd w:id="82"/>
    </w:p>
    <w:p w14:paraId="673601BE">
      <w:pPr>
        <w:pStyle w:val="5"/>
        <w:spacing w:before="217" w:after="217"/>
        <w:ind w:firstLine="640"/>
        <w:rPr>
          <w:rFonts w:cs="Times New Roman"/>
        </w:rPr>
      </w:pPr>
      <w:r>
        <w:rPr>
          <w:rFonts w:cs="Times New Roman"/>
        </w:rPr>
        <w:t>立足铜陵市国家创新型城市建设和创新驱动示范市建设，加快完善省市农业科技会商制度，推进铜陵市科协、市农业农村局与省农学会“省市县”三级联动科技创新合作。</w:t>
      </w:r>
      <w:r>
        <w:rPr>
          <w:rFonts w:hint="eastAsia" w:cs="Times New Roman"/>
        </w:rPr>
        <w:t>抢抓省级实验室体系重组机遇，</w:t>
      </w:r>
      <w:r>
        <w:rPr>
          <w:rFonts w:cs="Times New Roman"/>
        </w:rPr>
        <w:t>加快推进凤丹领域企业技术中心、实验室、博士后工作站等</w:t>
      </w:r>
      <w:r>
        <w:rPr>
          <w:rFonts w:hint="eastAsia" w:cs="Times New Roman"/>
        </w:rPr>
        <w:t>创新平台</w:t>
      </w:r>
      <w:r>
        <w:rPr>
          <w:rFonts w:cs="Times New Roman"/>
        </w:rPr>
        <w:t>，支持凤丹科技、北京同仁堂提等升级创建省级企业</w:t>
      </w:r>
      <w:r>
        <w:rPr>
          <w:rFonts w:hint="eastAsia" w:cs="Times New Roman"/>
        </w:rPr>
        <w:t>技术</w:t>
      </w:r>
      <w:r>
        <w:rPr>
          <w:rFonts w:cs="Times New Roman"/>
        </w:rPr>
        <w:t>中心</w:t>
      </w:r>
      <w:r>
        <w:rPr>
          <w:rFonts w:hint="eastAsia" w:cs="Times New Roman"/>
        </w:rPr>
        <w:t>、重点实验室</w:t>
      </w:r>
      <w:r>
        <w:rPr>
          <w:rFonts w:cs="Times New Roman"/>
        </w:rPr>
        <w:t>。强化凤丹产业公共技术服务平台建设，加快与中科院植物所、安徽农业大学、江南大学等合作共建凤丹科技小院，谋划组建凤丹产业技术研究院等新型研发机构及凤丹检测检验中心，争取长三角功能农业（食品）研究院等在铜设立分院。加快完善凤丹双创服务平台建设，鼓励铜陵国家农业科技园及有条件的企业建设“双创”基地、孵化器等，推进铜陵国家农业科技园区食品科技产业园孵化器、江南大学（铜陵）技术转移中心建设，完善研发、测试、中试等功能服务，探索开展凤丹科技成果“外部孵化、在铜转化”新模式。支持顺安镇、钟鸣镇及凤凰山村等有条件的乡镇、村创建省市级科技示范镇、示范村。</w:t>
      </w:r>
    </w:p>
    <w:p w14:paraId="1DEDB509">
      <w:pPr>
        <w:pStyle w:val="4"/>
        <w:rPr>
          <w:rFonts w:cs="Times New Roman"/>
        </w:rPr>
      </w:pPr>
      <w:bookmarkStart w:id="83" w:name="_Toc173425542"/>
      <w:bookmarkStart w:id="84" w:name="_Toc180020993"/>
      <w:bookmarkStart w:id="85" w:name="_Toc180074443"/>
      <w:r>
        <w:rPr>
          <w:rFonts w:cs="Times New Roman"/>
        </w:rPr>
        <w:t>4、强化创新型人才引进与培养</w:t>
      </w:r>
      <w:bookmarkEnd w:id="83"/>
      <w:bookmarkEnd w:id="84"/>
      <w:bookmarkEnd w:id="85"/>
    </w:p>
    <w:p w14:paraId="4346DA09">
      <w:pPr>
        <w:pStyle w:val="5"/>
        <w:spacing w:before="217" w:after="217"/>
        <w:ind w:firstLine="640"/>
        <w:rPr>
          <w:rFonts w:cs="Times New Roman"/>
        </w:rPr>
      </w:pPr>
      <w:r>
        <w:rPr>
          <w:rFonts w:cs="Times New Roman"/>
        </w:rPr>
        <w:t>充分发挥铜陵国家农业科技园区、凤丹科技小院、凤丹产业技术研究院、企业创新平台等平台载体作用，通过兼职聘用、课题研究、联合技术攻关、技术咨询等形式柔性引进凤丹产业领域高层次人才。实施“银发技术专家”归乡计划，加快梳理和挖掘铜陵市籍在外从事牡丹研究、</w:t>
      </w:r>
      <w:r>
        <w:rPr>
          <w:rFonts w:hint="eastAsia" w:cs="Times New Roman"/>
        </w:rPr>
        <w:t>保健食品</w:t>
      </w:r>
      <w:r>
        <w:rPr>
          <w:rFonts w:cs="Times New Roman"/>
        </w:rPr>
        <w:t>科研等退休人员，通过长期聘用、灵活聘用等多种方式建立凤丹产业银发技术专家团队。深化中科院植物所、安徽省农学会、安徽农业大学等科研院所合作，建立凤丹产业专家库，组建凤丹产业科技服务团队，建设一批特色产业专家工作站、研究生实践实习基地等。深化“科技特派员+”制度，鼓励高校、科研院所、龙头企业等牵头组建凤丹产业领域复合型科技特派团、专业型科技特派团，强化凤丹种植技术指导，支持亚通牡丹科技特派员工作站、科技特派员创新创业示范基地提等升级。强化凤丹产业领域高素质农民培养与培训，依托义安区现代农业技术学校等，深化凤丹生产加工技术、技能、管理等培训学习、考察实践，培育一批农业经理人等经营管理型、种植大户等专业生产型和从事生产经营性服务的技能服务型高素质农民。</w:t>
      </w:r>
    </w:p>
    <w:p w14:paraId="102754DA">
      <w:pPr>
        <w:pStyle w:val="4"/>
        <w:rPr>
          <w:rFonts w:cs="Times New Roman"/>
        </w:rPr>
      </w:pPr>
      <w:bookmarkStart w:id="86" w:name="_Toc173425543"/>
      <w:bookmarkStart w:id="87" w:name="_Toc180074444"/>
      <w:bookmarkStart w:id="88" w:name="_Toc180020994"/>
      <w:r>
        <w:rPr>
          <w:rFonts w:cs="Times New Roman"/>
        </w:rPr>
        <w:t>5、推进凤丹产业数农融合发展</w:t>
      </w:r>
      <w:bookmarkEnd w:id="86"/>
      <w:bookmarkEnd w:id="87"/>
      <w:bookmarkEnd w:id="88"/>
    </w:p>
    <w:p w14:paraId="4FEEF0E8">
      <w:pPr>
        <w:pStyle w:val="5"/>
        <w:spacing w:before="217" w:after="217"/>
        <w:ind w:firstLine="640"/>
        <w:rPr>
          <w:rFonts w:cs="Times New Roman"/>
        </w:rPr>
      </w:pPr>
      <w:r>
        <w:rPr>
          <w:rFonts w:cs="Times New Roman"/>
        </w:rPr>
        <w:t>以加快发展农业新质生产力为核心，深入实施“数商兴农”“数农融合”工程，强化现代农业专项资金对数字农业发展的支持力度，推进物联网、大数据、人工智能、北斗等先进技术在凤丹全产业链建设中应用，建设凤丹数字农业工厂，支持义安区创建国家数字农业创新应用示范基地。谋划搭建凤丹产业大数据平台，推进与皖南中药材交易市场、铜陵鲜切花交易中心、南方牡丹种质资源交易中心数据互联互通，开展凤丹全生命周期智慧管理与调控、市场需求预测分析与监测预警、仓储物流信息在线管理、金融信息服务等。开展凤丹生产数字化改造，推动环境测控、精确施肥、智能灌溉、气象数据采集、生长监控、“互联网+”农机作业、农用北斗终端及辅助驾驶系统等数字农业技术与智能装备应用。实施“互联网+”农产品出村进城工程，完善凤丹示范区电商基础设施建设，以铜陵国家农业科技园区为试点构建农产品出村进城销售供应体系，建设凤凰山凤丹特色农产品供应链基地。创新大数据、人工智能等数字技术在凤丹文化、文旅产业中的应用，开发沉浸式交互VR体验场景、凤丹主题影视作品、数字纪念品等。</w:t>
      </w:r>
    </w:p>
    <w:p w14:paraId="63F188B6">
      <w:pPr>
        <w:pStyle w:val="5"/>
        <w:pBdr>
          <w:top w:val="single" w:color="auto" w:sz="4" w:space="1"/>
          <w:left w:val="single" w:color="auto" w:sz="4" w:space="4"/>
          <w:right w:val="single" w:color="auto" w:sz="4" w:space="4"/>
        </w:pBdr>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专栏2：“科技凤丹”建设重点项目</w:t>
      </w:r>
    </w:p>
    <w:p w14:paraId="4416984A">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1、凤凰山凤丹省级林草种质资源库建设项目：</w:t>
      </w:r>
      <w:r>
        <w:rPr>
          <w:rFonts w:cs="Times New Roman"/>
          <w:sz w:val="21"/>
          <w:szCs w:val="21"/>
        </w:rPr>
        <w:t>总投资128.85万元，建设周期2024 -2026年，在义安区顺安镇凤凰山风景名胜区开展种质资源调查，推进222亩资源培育基地建设及基础设施建设，推进科普宣教等。</w:t>
      </w:r>
    </w:p>
    <w:p w14:paraId="1CEDEC72">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2、“牡丹籽油提取工艺优化及功能性食品技术研发”“凤丹牡丹油脂提质保鲜关键技术及功能性产品研发与产业化示范”项目：</w:t>
      </w:r>
      <w:r>
        <w:rPr>
          <w:rFonts w:cs="Times New Roman"/>
          <w:sz w:val="21"/>
          <w:szCs w:val="21"/>
        </w:rPr>
        <w:t>总投资150万元，建设周期202</w:t>
      </w:r>
      <w:r>
        <w:rPr>
          <w:rFonts w:hint="eastAsia" w:cs="Times New Roman"/>
          <w:sz w:val="21"/>
          <w:szCs w:val="21"/>
        </w:rPr>
        <w:t>4</w:t>
      </w:r>
      <w:r>
        <w:rPr>
          <w:rFonts w:cs="Times New Roman"/>
          <w:sz w:val="21"/>
          <w:szCs w:val="21"/>
        </w:rPr>
        <w:t>-202</w:t>
      </w:r>
      <w:r>
        <w:rPr>
          <w:rFonts w:hint="eastAsia" w:cs="Times New Roman"/>
          <w:sz w:val="21"/>
          <w:szCs w:val="21"/>
        </w:rPr>
        <w:t>5</w:t>
      </w:r>
      <w:r>
        <w:rPr>
          <w:rFonts w:cs="Times New Roman"/>
          <w:sz w:val="21"/>
          <w:szCs w:val="21"/>
        </w:rPr>
        <w:t>年，依托铜陵凤丹种植科技开发有限责任公司，联合合肥工业大学开展提取工艺优化、保鲜关键技术攻关等，开发出多元化的含牡丹籽油元素益智高值化产品、日化产品。</w:t>
      </w:r>
    </w:p>
    <w:p w14:paraId="0EA65968">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3、“省市县”三级联动科技创新合作项目：</w:t>
      </w:r>
      <w:r>
        <w:rPr>
          <w:rFonts w:cs="Times New Roman"/>
          <w:sz w:val="21"/>
          <w:szCs w:val="21"/>
        </w:rPr>
        <w:t>建设周期202</w:t>
      </w:r>
      <w:r>
        <w:rPr>
          <w:rFonts w:hint="eastAsia" w:cs="Times New Roman"/>
          <w:sz w:val="21"/>
          <w:szCs w:val="21"/>
        </w:rPr>
        <w:t>5</w:t>
      </w:r>
      <w:r>
        <w:rPr>
          <w:rFonts w:cs="Times New Roman"/>
          <w:sz w:val="21"/>
          <w:szCs w:val="21"/>
        </w:rPr>
        <w:t>-202</w:t>
      </w:r>
      <w:r>
        <w:rPr>
          <w:rFonts w:hint="eastAsia" w:cs="Times New Roman"/>
          <w:sz w:val="21"/>
          <w:szCs w:val="21"/>
        </w:rPr>
        <w:t>7</w:t>
      </w:r>
      <w:r>
        <w:rPr>
          <w:rFonts w:cs="Times New Roman"/>
          <w:sz w:val="21"/>
          <w:szCs w:val="21"/>
        </w:rPr>
        <w:t>年，组建农业科技服务团队，开展专项科技人才服务，深化包括凤丹在内的农业技术需求挖掘和对接，推广农业新产品、新品种、新技术、新机械等。</w:t>
      </w:r>
    </w:p>
    <w:p w14:paraId="1EC09797">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4、凤丹科技小院建设项目：</w:t>
      </w:r>
      <w:r>
        <w:rPr>
          <w:rFonts w:cs="Times New Roman"/>
          <w:sz w:val="21"/>
          <w:szCs w:val="21"/>
        </w:rPr>
        <w:t>总投资400万元，建设周期2025-2026年，在义安区建设生活、办公、培训空间，建设建议实验室，组建科技小院团队，配备必要的交通工具及办公桌椅、电脑、打印机、上网设施、多媒体展示等办公和培训设施设备。</w:t>
      </w:r>
    </w:p>
    <w:p w14:paraId="5D844728">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5、凤丹产业技术研究院建设项目：</w:t>
      </w:r>
      <w:r>
        <w:rPr>
          <w:rFonts w:cs="Times New Roman"/>
          <w:sz w:val="21"/>
          <w:szCs w:val="21"/>
        </w:rPr>
        <w:t>总投资3000万元，建设周期2026-2028年，在铜陵国家农业科技园区建设包括科研办公及配套物理空间建设、科研人才招聘和团队组建、孵化空间建设及配套设施建设、基础设施和实验平台的建设、小试中试及检验检测等公共技术服务平台建设等。</w:t>
      </w:r>
    </w:p>
    <w:p w14:paraId="2A278A00">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6、凤丹产业创新型人才培育计划：</w:t>
      </w:r>
      <w:r>
        <w:rPr>
          <w:rFonts w:cs="Times New Roman"/>
          <w:sz w:val="21"/>
          <w:szCs w:val="21"/>
        </w:rPr>
        <w:t>总投资50万元，建设周期202</w:t>
      </w:r>
      <w:r>
        <w:rPr>
          <w:rFonts w:hint="eastAsia" w:cs="Times New Roman"/>
          <w:sz w:val="21"/>
          <w:szCs w:val="21"/>
        </w:rPr>
        <w:t>5</w:t>
      </w:r>
      <w:r>
        <w:rPr>
          <w:rFonts w:cs="Times New Roman"/>
          <w:sz w:val="21"/>
          <w:szCs w:val="21"/>
        </w:rPr>
        <w:t>-202</w:t>
      </w:r>
      <w:r>
        <w:rPr>
          <w:rFonts w:hint="eastAsia" w:cs="Times New Roman"/>
          <w:sz w:val="21"/>
          <w:szCs w:val="21"/>
        </w:rPr>
        <w:t>7</w:t>
      </w:r>
      <w:r>
        <w:rPr>
          <w:rFonts w:cs="Times New Roman"/>
          <w:sz w:val="21"/>
          <w:szCs w:val="21"/>
        </w:rPr>
        <w:t>年，组建完成凤丹产业专家库，引进至少1名凤丹高层次人才、3名银发技术专家，培养100名以上的凤丹高素质农民等。</w:t>
      </w:r>
    </w:p>
    <w:p w14:paraId="36DC14C4">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7、数字化凤丹建设项目：</w:t>
      </w:r>
      <w:r>
        <w:rPr>
          <w:rFonts w:cs="Times New Roman"/>
          <w:sz w:val="21"/>
          <w:szCs w:val="21"/>
        </w:rPr>
        <w:t>总投资280万元，建设周期202</w:t>
      </w:r>
      <w:r>
        <w:rPr>
          <w:rFonts w:hint="eastAsia" w:cs="Times New Roman"/>
          <w:sz w:val="21"/>
          <w:szCs w:val="21"/>
        </w:rPr>
        <w:t>5</w:t>
      </w:r>
      <w:r>
        <w:rPr>
          <w:rFonts w:cs="Times New Roman"/>
          <w:sz w:val="21"/>
          <w:szCs w:val="21"/>
        </w:rPr>
        <w:t>-202</w:t>
      </w:r>
      <w:r>
        <w:rPr>
          <w:rFonts w:hint="eastAsia" w:cs="Times New Roman"/>
          <w:sz w:val="21"/>
          <w:szCs w:val="21"/>
        </w:rPr>
        <w:t>7</w:t>
      </w:r>
      <w:r>
        <w:rPr>
          <w:rFonts w:cs="Times New Roman"/>
          <w:sz w:val="21"/>
          <w:szCs w:val="21"/>
        </w:rPr>
        <w:t>年，在铜陵国家农业科技园区建设凤丹产业大数据平台，开展环境测控、精确施肥、智能灌溉等凤丹产业数字化改造，建成至少2家凤丹数字农业工厂。</w:t>
      </w:r>
    </w:p>
    <w:p w14:paraId="0FBC0BA6">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8、凤丹关键核心技术攻关项目：</w:t>
      </w:r>
      <w:r>
        <w:rPr>
          <w:rFonts w:cs="Times New Roman"/>
          <w:sz w:val="21"/>
          <w:szCs w:val="21"/>
        </w:rPr>
        <w:t>重点围绕凤丹基因调控良种品质机理、调控花芽分化与丰产、调控油脂质量与营养功能、功能成分与保健机理、功能成分产品的医学临床应用鉴定、凤丹籽油新食物原料、牡丹籽油和α-亚麻酸抑制乳腺癌细胞侵袭和转移并诱导乳腺癌细胞凋亡机制以及油用与观赏性状兼顾、油料加工与饼粕利用、良种良法良田关联研究等方向与课题进行技术攻关。</w:t>
      </w:r>
    </w:p>
    <w:p w14:paraId="1C9CD996">
      <w:pPr>
        <w:pStyle w:val="3"/>
        <w:spacing w:before="217" w:after="217"/>
        <w:ind w:firstLine="643"/>
        <w:rPr>
          <w:rFonts w:cs="Times New Roman"/>
          <w:b/>
          <w:bCs w:val="0"/>
        </w:rPr>
      </w:pPr>
      <w:bookmarkStart w:id="89" w:name="_Toc180074445"/>
      <w:r>
        <w:rPr>
          <w:rFonts w:cs="Times New Roman"/>
          <w:b/>
          <w:bCs w:val="0"/>
        </w:rPr>
        <w:t>三、实施品牌质量提升行动，打造品质凤丹</w:t>
      </w:r>
      <w:bookmarkEnd w:id="89"/>
    </w:p>
    <w:p w14:paraId="48541926">
      <w:pPr>
        <w:pStyle w:val="4"/>
        <w:rPr>
          <w:rFonts w:cs="Times New Roman"/>
        </w:rPr>
      </w:pPr>
      <w:bookmarkStart w:id="90" w:name="_Toc180074446"/>
      <w:bookmarkStart w:id="91" w:name="_Toc180020996"/>
      <w:bookmarkStart w:id="92" w:name="_Toc173425545"/>
      <w:r>
        <w:rPr>
          <w:rFonts w:cs="Times New Roman"/>
        </w:rPr>
        <w:t>1、强化全产业链标准体系建设</w:t>
      </w:r>
      <w:bookmarkEnd w:id="90"/>
      <w:bookmarkEnd w:id="91"/>
      <w:bookmarkEnd w:id="92"/>
    </w:p>
    <w:p w14:paraId="5D558F7C">
      <w:pPr>
        <w:pStyle w:val="5"/>
        <w:spacing w:before="217" w:after="217"/>
        <w:ind w:firstLine="640"/>
        <w:rPr>
          <w:rFonts w:cs="Times New Roman"/>
          <w:color w:val="1E1E1E"/>
          <w:szCs w:val="32"/>
          <w:shd w:val="clear" w:color="auto" w:fill="FFFFFF"/>
        </w:rPr>
      </w:pPr>
      <w:r>
        <w:rPr>
          <w:rFonts w:cs="Times New Roman"/>
          <w:color w:val="1E1E1E"/>
          <w:szCs w:val="32"/>
          <w:shd w:val="clear" w:color="auto" w:fill="FFFFFF"/>
        </w:rPr>
        <w:t>探索推进凤丹立法工作，充分论证立法的必要性、可行性等，适时推动《铜陵市凤丹牡丹保护与发展条例》。按照农业全产业链标准体系建设要求，加快推进包括凤丹播种育苗技术、栽培技术、病虫害防治技术、加工技术等在内的《铜陵凤丹生产标准综合体》制定。强化《地理标志产品 凤丹》标准宣贯和培训，通过专题培训、现场宣讲、视频解读、入企指导、案例研讨等形式宣传地理标志相关知识、标准使用规范等，推进《地理标志产品 凤丹》提档升级为国家标准。完善凤丹生产加工相关技术指引、规范，编制《铜陵凤丹论文集》《铜陵凤丹标准图谱》《铜陵凤丹</w:t>
      </w:r>
      <w:r>
        <w:rPr>
          <w:rFonts w:cs="Times New Roman"/>
        </w:rPr>
        <w:t>生产加工农事工作要点</w:t>
      </w:r>
      <w:r>
        <w:rPr>
          <w:rFonts w:cs="Times New Roman"/>
          <w:color w:val="1E1E1E"/>
          <w:szCs w:val="32"/>
          <w:shd w:val="clear" w:color="auto" w:fill="FFFFFF"/>
        </w:rPr>
        <w:t>》</w:t>
      </w:r>
      <w:r>
        <w:rPr>
          <w:rFonts w:cs="Times New Roman"/>
        </w:rPr>
        <w:t>《铜陵凤丹标准化栽培操作规程》《铜陵凤丹绿色高效栽培技术规范》《铜陵凤丹常见病虫害及绿色防控技术指引》</w:t>
      </w:r>
      <w:r>
        <w:rPr>
          <w:rFonts w:cs="Times New Roman"/>
          <w:color w:val="1E1E1E"/>
          <w:szCs w:val="32"/>
          <w:shd w:val="clear" w:color="auto" w:fill="FFFFFF"/>
        </w:rPr>
        <w:t>等。鼓励龙头企业制定高于国家标准、行业标准的企业标准，主持或参与团体标准制定，培育农业龙头企业标准“领跑者”。加强凤丹全产业标准化人才建设，重点开展企事业单位应用型和实用性标准化人才培养，实施高素质农民标准技能提升行动，培养一批凤丹标准化工作的专家和骨干。</w:t>
      </w:r>
    </w:p>
    <w:p w14:paraId="366E693B">
      <w:pPr>
        <w:pStyle w:val="4"/>
        <w:rPr>
          <w:rFonts w:cs="Times New Roman"/>
        </w:rPr>
      </w:pPr>
      <w:bookmarkStart w:id="93" w:name="_Toc173425546"/>
      <w:bookmarkStart w:id="94" w:name="_Toc180020997"/>
      <w:bookmarkStart w:id="95" w:name="_Toc180074447"/>
      <w:r>
        <w:rPr>
          <w:rFonts w:cs="Times New Roman"/>
        </w:rPr>
        <w:t>2、实施凤丹质量攻坚提升行动</w:t>
      </w:r>
      <w:bookmarkEnd w:id="93"/>
      <w:bookmarkEnd w:id="94"/>
      <w:bookmarkEnd w:id="95"/>
    </w:p>
    <w:p w14:paraId="44C7C676">
      <w:pPr>
        <w:pStyle w:val="5"/>
        <w:spacing w:before="217" w:after="217"/>
        <w:ind w:firstLine="640"/>
        <w:rPr>
          <w:rFonts w:cs="Times New Roman"/>
          <w:color w:val="1E1E1E"/>
          <w:szCs w:val="32"/>
          <w:shd w:val="clear" w:color="auto" w:fill="FFFFFF"/>
        </w:rPr>
      </w:pPr>
      <w:r>
        <w:rPr>
          <w:rFonts w:cs="Times New Roman"/>
          <w:color w:val="1E1E1E"/>
          <w:szCs w:val="32"/>
          <w:shd w:val="clear" w:color="auto" w:fill="FFFFFF"/>
        </w:rPr>
        <w:t>完善凤丹质量安全监管体系，扩大凤丹产品质量安全风险监测范围，优化市、区（县）、乡（镇）、村四级质量安全监管队伍，推行“区域定格、网格定人、人员定责”网格化管理，试点推进智慧监管。强化农业投入品规范化管理，对禁限用农药、非法添加、农药残留超标、不严格执行用药安全间隔期等违法行为开展专项治理，构建“政府依法监管、生产者守法经营”的长效机制。强化凤丹产品质量安全追溯体系建设，依托安徽省</w:t>
      </w:r>
      <w:r>
        <w:rPr>
          <w:rFonts w:cs="Times New Roman"/>
        </w:rPr>
        <w:t>农产品质量安全追溯平台、</w:t>
      </w:r>
      <w:r>
        <w:rPr>
          <w:rFonts w:cs="Times New Roman"/>
          <w:color w:val="1E1E1E"/>
          <w:szCs w:val="32"/>
          <w:shd w:val="clear" w:color="auto" w:fill="FFFFFF"/>
        </w:rPr>
        <w:t>铜陵市食品安全追溯监管平台，推进凤丹示范区质量追溯监管全覆盖、地理标志及区域公用品牌授权产品质量追溯监管全覆盖，推广使用产地标识管理、质量认证合格证明、质量安全承诺达标合格证制度、产品条码制度等。建立健全凤丹产品质量检测体系，依托市食品药品检验中心、市农产品质量安全检验检测中心，加快凤丹示范区检验检测中心及批发市场、产地检测点建设，加强对凤丹生产、加工、流通、消费各个环节的农药残留、重金属和违禁添加剂的检验检测。</w:t>
      </w:r>
    </w:p>
    <w:p w14:paraId="3F158864">
      <w:pPr>
        <w:pStyle w:val="4"/>
        <w:rPr>
          <w:rFonts w:cs="Times New Roman"/>
        </w:rPr>
      </w:pPr>
      <w:bookmarkStart w:id="96" w:name="_Toc180074448"/>
      <w:bookmarkStart w:id="97" w:name="_Toc180020998"/>
      <w:bookmarkStart w:id="98" w:name="_Toc173425547"/>
      <w:r>
        <w:rPr>
          <w:rFonts w:cs="Times New Roman"/>
        </w:rPr>
        <w:t>3、深化凤丹“三品一标”创建行动</w:t>
      </w:r>
      <w:bookmarkEnd w:id="96"/>
      <w:bookmarkEnd w:id="97"/>
      <w:bookmarkEnd w:id="98"/>
    </w:p>
    <w:p w14:paraId="381E30E8">
      <w:pPr>
        <w:pStyle w:val="5"/>
        <w:spacing w:before="217" w:after="217"/>
        <w:ind w:firstLine="640"/>
        <w:rPr>
          <w:rFonts w:cs="Times New Roman"/>
        </w:rPr>
      </w:pPr>
      <w:r>
        <w:rPr>
          <w:rFonts w:cs="Times New Roman"/>
        </w:rPr>
        <w:t>建立健全地理标志保护工作会商机制和地理标志保护标准体系建设，出台“凤丹”地理标志使用管理办法，明确地理标志使用范围、使用要求、标示方法等，推行地理标志使用承诺、进货溯源登记等创新举措；构建地理标志检验检测体系，实现地理标志产品质量全流程监管、品源可追溯，严厉打击伪造或者擅自使用地理标志的生产、销售等违法行为；放大安徽凤丹产业技术创新战略联盟、铜陵市牡丹产业联合会、铜陵市义安区牡丹产业协会等行业协会在地理标志使用规范宣贯、监督、服务等方面作用。充分发挥市场监督管理局商标品牌指导站等作用，加快推进凤丹绿色食品、有机农产品认证、认定工作，重点鼓励凤丹科技、铜陵禾田中药饮片、北京同仁堂等企业加快绿色食品、有机农产品认证，开展农产品承诺达标合格证“亮证”行动，对新认证、续展绿色食品、有机农产品并入驻省农产品质量安全追溯平台的经营主体给与一定奖补。</w:t>
      </w:r>
    </w:p>
    <w:p w14:paraId="7947002E">
      <w:pPr>
        <w:pStyle w:val="4"/>
        <w:rPr>
          <w:rFonts w:cs="Times New Roman"/>
          <w:shd w:val="clear" w:color="auto" w:fill="FFFFFF"/>
        </w:rPr>
      </w:pPr>
      <w:bookmarkStart w:id="99" w:name="_Toc180074449"/>
      <w:bookmarkStart w:id="100" w:name="_Toc180020999"/>
      <w:bookmarkStart w:id="101" w:name="_Toc173425548"/>
      <w:r>
        <w:rPr>
          <w:rFonts w:cs="Times New Roman"/>
          <w:shd w:val="clear" w:color="auto" w:fill="FFFFFF"/>
        </w:rPr>
        <w:t>4、加强凤丹品牌培育宣传推广</w:t>
      </w:r>
      <w:bookmarkEnd w:id="99"/>
      <w:bookmarkEnd w:id="100"/>
      <w:bookmarkEnd w:id="101"/>
    </w:p>
    <w:p w14:paraId="33DEE4FD">
      <w:pPr>
        <w:pStyle w:val="5"/>
        <w:spacing w:before="217" w:after="217"/>
        <w:ind w:firstLine="640"/>
        <w:rPr>
          <w:rFonts w:cs="Times New Roman"/>
          <w:color w:val="1E1E1E"/>
          <w:szCs w:val="32"/>
          <w:shd w:val="clear" w:color="auto" w:fill="FFFFFF"/>
        </w:rPr>
      </w:pPr>
      <w:r>
        <w:rPr>
          <w:rFonts w:cs="Times New Roman"/>
          <w:szCs w:val="24"/>
          <w:shd w:val="clear"/>
        </w:rPr>
        <w:t>立足凤丹“三品一标”创建成果，强化“三品一标”凤丹产品宣传推介力度，联合市域优质农产品开展绿色食品宣传月、有机生活节、地标农品中国行等活动，争取开通“铜陵凤丹号”冠名的高铁列车。强化区域公用品牌使用管理，推进入围企业（合作社）统一标识，实行“铜陵凤丹”“区域公用品牌+企业产品品牌”母子品牌模式，鼓励区域公用品牌凤丹产品带证明上网、带二维码上线、带标识上市。加快推进凤丹企业品牌、产品品牌创建，支持有条件的新型经营主体创建一批“土字号”“乡字号”特色产品品牌，鼓励“荣京”牌牡丹产品等申报“皖美农品”企业品牌、全国名特优新农产品</w:t>
      </w:r>
      <w:r>
        <w:rPr>
          <w:rFonts w:hint="default" w:cs="Times New Roman"/>
          <w:szCs w:val="24"/>
          <w:shd w:val="clear"/>
        </w:rPr>
        <w:t>、气候好产品</w:t>
      </w:r>
      <w:r>
        <w:rPr>
          <w:rFonts w:cs="Times New Roman"/>
          <w:szCs w:val="24"/>
          <w:shd w:val="clear"/>
        </w:rPr>
        <w:t>等</w:t>
      </w:r>
      <w:r>
        <w:rPr>
          <w:rFonts w:hint="default" w:cs="Times New Roman"/>
          <w:szCs w:val="24"/>
          <w:shd w:val="clear"/>
        </w:rPr>
        <w:t>，开展“食安安徽”食品生产基地、食品生产园区、食品安全小镇等创建</w:t>
      </w:r>
      <w:r>
        <w:rPr>
          <w:rFonts w:cs="Times New Roman"/>
          <w:szCs w:val="24"/>
          <w:shd w:val="clear"/>
        </w:rPr>
        <w:t>。策划实施铜陵凤丹品牌创意营销大赛，培育一批有创意、有内涵的新锐品牌。持续推进品牌宣传推广，积极组织凤丹新型经营主体参加中国农交会、合肥农交会、上海农交会、丝博会、农高会、绿色食品博览会等展会展销活动，支持凤丹产品、美食等参加省级“好网货”大赛、“乡味江淮”安徽省特色农家菜评选等活动。</w:t>
      </w:r>
    </w:p>
    <w:p w14:paraId="0903968E">
      <w:pPr>
        <w:pStyle w:val="4"/>
        <w:rPr>
          <w:rFonts w:cs="Times New Roman"/>
        </w:rPr>
      </w:pPr>
      <w:bookmarkStart w:id="102" w:name="_Toc173425549"/>
      <w:bookmarkStart w:id="103" w:name="_Toc180021000"/>
      <w:bookmarkStart w:id="104" w:name="_Toc180074450"/>
      <w:r>
        <w:rPr>
          <w:rFonts w:cs="Times New Roman"/>
        </w:rPr>
        <w:t>5、完善凤丹产业基础设施配套</w:t>
      </w:r>
      <w:bookmarkEnd w:id="102"/>
      <w:bookmarkEnd w:id="103"/>
      <w:bookmarkEnd w:id="104"/>
    </w:p>
    <w:p w14:paraId="69B3747D">
      <w:pPr>
        <w:pStyle w:val="5"/>
        <w:spacing w:before="217" w:after="217"/>
        <w:ind w:firstLine="640"/>
        <w:rPr>
          <w:rFonts w:cs="Times New Roman"/>
        </w:rPr>
      </w:pPr>
      <w:r>
        <w:rPr>
          <w:rFonts w:cs="Times New Roman"/>
        </w:rPr>
        <w:t>立足土地综合整治等，重点围绕耕地质量提升、土壤肥力提升、重金属消解等，加快推进铜陵尾矿区凤丹种植及撂荒地复垦凤丹种植的土壤修复与改良、尾矿区凤丹植株重金属富集及消解实验等，拓展凤丹种植新空间。加快鲜切花凤丹、盆栽凤丹种苗温室大棚、育苗机具、自动化滴灌、施肥、遮阴等基础设施建设，完善凤丹种质资源库林区道路、喷灌系统等建设。强化凤丹种植基础设施配套，重点围绕省级十大皖药牡丹皮产业示范基地、凤丹GAP种植基地、凤丹标准化种植基地等，加强围墙网、灌溉设施、排水沟渠、水肥一体化设施设备、生产路、晾晒场等基础设施建设。推进凤丹鲜切花仓储分拣中心、预冷库、温控包花车间、保鲜库、蓄冷式鲜花固定冷库、冷链车等采后处理设施建设，完善丹皮中药材常温库、阴冷库等建设。深入实施“数农融合”，加快推进5G基站、凤丹产业基础数据、凤丹专用农机智慧测试场、冷链大数据云平台</w:t>
      </w:r>
      <w:r>
        <w:rPr>
          <w:rFonts w:hint="eastAsia" w:cs="Times New Roman"/>
        </w:rPr>
        <w:t>、智慧气象观测站点</w:t>
      </w:r>
      <w:r>
        <w:rPr>
          <w:rFonts w:cs="Times New Roman"/>
        </w:rPr>
        <w:t>等数字基础设施建设。</w:t>
      </w:r>
    </w:p>
    <w:p w14:paraId="3488046C">
      <w:pPr>
        <w:pStyle w:val="5"/>
        <w:pBdr>
          <w:top w:val="single" w:color="auto" w:sz="4" w:space="1"/>
          <w:left w:val="single" w:color="auto" w:sz="4" w:space="4"/>
          <w:right w:val="single" w:color="auto" w:sz="4" w:space="4"/>
        </w:pBdr>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专栏3：“品质凤丹”建设重点项目</w:t>
      </w:r>
    </w:p>
    <w:p w14:paraId="611E7667">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1、凤丹“三品一标”建设项目：</w:t>
      </w:r>
      <w:r>
        <w:rPr>
          <w:rFonts w:cs="Times New Roman"/>
          <w:sz w:val="21"/>
          <w:szCs w:val="21"/>
        </w:rPr>
        <w:t>总投资30万元，建设周期202</w:t>
      </w:r>
      <w:r>
        <w:rPr>
          <w:rFonts w:hint="eastAsia" w:cs="Times New Roman"/>
          <w:sz w:val="21"/>
          <w:szCs w:val="21"/>
        </w:rPr>
        <w:t>5</w:t>
      </w:r>
      <w:r>
        <w:rPr>
          <w:rFonts w:cs="Times New Roman"/>
          <w:sz w:val="21"/>
          <w:szCs w:val="21"/>
        </w:rPr>
        <w:t xml:space="preserve"> -202</w:t>
      </w:r>
      <w:r>
        <w:rPr>
          <w:rFonts w:hint="eastAsia" w:cs="Times New Roman"/>
          <w:sz w:val="21"/>
          <w:szCs w:val="21"/>
        </w:rPr>
        <w:t>7</w:t>
      </w:r>
      <w:r>
        <w:rPr>
          <w:rFonts w:cs="Times New Roman"/>
          <w:sz w:val="21"/>
          <w:szCs w:val="21"/>
        </w:rPr>
        <w:t>年，加快推行有机食品、绿色农产品认证和达标合格农产品，新增至少2个有机食品或绿色农产品认证产品。</w:t>
      </w:r>
    </w:p>
    <w:p w14:paraId="68B13F15">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2、凤丹地理标志及区域公用品牌规范应用提升项目：</w:t>
      </w:r>
      <w:r>
        <w:rPr>
          <w:rFonts w:cs="Times New Roman"/>
          <w:sz w:val="21"/>
          <w:szCs w:val="21"/>
        </w:rPr>
        <w:t>总投资60万元，建设周期202</w:t>
      </w:r>
      <w:r>
        <w:rPr>
          <w:rFonts w:hint="eastAsia" w:cs="Times New Roman"/>
          <w:sz w:val="21"/>
          <w:szCs w:val="21"/>
        </w:rPr>
        <w:t>5</w:t>
      </w:r>
      <w:r>
        <w:rPr>
          <w:rFonts w:cs="Times New Roman"/>
          <w:sz w:val="21"/>
          <w:szCs w:val="21"/>
        </w:rPr>
        <w:t>-202</w:t>
      </w:r>
      <w:r>
        <w:rPr>
          <w:rFonts w:hint="eastAsia" w:cs="Times New Roman"/>
          <w:sz w:val="21"/>
          <w:szCs w:val="21"/>
        </w:rPr>
        <w:t>7</w:t>
      </w:r>
      <w:r>
        <w:rPr>
          <w:rFonts w:cs="Times New Roman"/>
          <w:sz w:val="21"/>
          <w:szCs w:val="21"/>
        </w:rPr>
        <w:t>年，出台“凤丹”地理标志使用管理办法，建立完善“铜陵凤丹”“区域公用品牌+企业产品品牌”母子品牌模式，实现凤丹示范区质量追溯监管全覆盖、地理标志及区域公用品牌授权产品质量追溯监管全覆盖。</w:t>
      </w:r>
    </w:p>
    <w:p w14:paraId="72CDF785">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3、凤丹全产业链标准体系建设项目：</w:t>
      </w:r>
      <w:r>
        <w:rPr>
          <w:rFonts w:cs="Times New Roman"/>
          <w:sz w:val="21"/>
          <w:szCs w:val="21"/>
        </w:rPr>
        <w:t>建设周期202</w:t>
      </w:r>
      <w:r>
        <w:rPr>
          <w:rFonts w:hint="eastAsia" w:cs="Times New Roman"/>
          <w:sz w:val="21"/>
          <w:szCs w:val="21"/>
        </w:rPr>
        <w:t>5</w:t>
      </w:r>
      <w:r>
        <w:rPr>
          <w:rFonts w:cs="Times New Roman"/>
          <w:sz w:val="21"/>
          <w:szCs w:val="21"/>
        </w:rPr>
        <w:t>-202</w:t>
      </w:r>
      <w:r>
        <w:rPr>
          <w:rFonts w:hint="eastAsia" w:cs="Times New Roman"/>
          <w:sz w:val="21"/>
          <w:szCs w:val="21"/>
        </w:rPr>
        <w:t>7</w:t>
      </w:r>
      <w:r>
        <w:rPr>
          <w:rFonts w:cs="Times New Roman"/>
          <w:sz w:val="21"/>
          <w:szCs w:val="21"/>
        </w:rPr>
        <w:t>年，开展包括《铜陵凤丹生产标准综合体》《铜陵凤丹论文集》《铜陵凤丹标准图谱》《铜陵凤丹生产加工农事工作要点》等编制，开展《地理标志产品 凤丹》标准升级。</w:t>
      </w:r>
    </w:p>
    <w:p w14:paraId="2488D460">
      <w:pPr>
        <w:pStyle w:val="3"/>
        <w:spacing w:before="217" w:after="217"/>
        <w:ind w:firstLine="643"/>
        <w:rPr>
          <w:rFonts w:cs="Times New Roman"/>
          <w:b/>
          <w:bCs w:val="0"/>
        </w:rPr>
      </w:pPr>
      <w:bookmarkStart w:id="105" w:name="_Toc180074451"/>
      <w:r>
        <w:rPr>
          <w:rFonts w:cs="Times New Roman"/>
          <w:b/>
          <w:bCs w:val="0"/>
        </w:rPr>
        <w:t>四、实施凤丹文化开发行动，打造人文凤丹</w:t>
      </w:r>
      <w:bookmarkEnd w:id="105"/>
    </w:p>
    <w:p w14:paraId="30482F1B">
      <w:pPr>
        <w:pStyle w:val="4"/>
        <w:rPr>
          <w:rFonts w:cs="Times New Roman"/>
        </w:rPr>
      </w:pPr>
      <w:bookmarkStart w:id="106" w:name="_Toc173425551"/>
      <w:bookmarkStart w:id="107" w:name="_Toc180074452"/>
      <w:bookmarkStart w:id="108" w:name="_Toc180021002"/>
      <w:r>
        <w:rPr>
          <w:rFonts w:cs="Times New Roman"/>
        </w:rPr>
        <w:t>1、强化凤丹文化传承与保护开发</w:t>
      </w:r>
      <w:bookmarkEnd w:id="106"/>
      <w:bookmarkEnd w:id="107"/>
      <w:bookmarkEnd w:id="108"/>
    </w:p>
    <w:p w14:paraId="626BC3FA">
      <w:pPr>
        <w:pStyle w:val="5"/>
        <w:spacing w:before="217" w:after="217"/>
        <w:ind w:firstLine="640"/>
        <w:rPr>
          <w:rFonts w:cs="Times New Roman"/>
        </w:rPr>
      </w:pPr>
      <w:r>
        <w:rPr>
          <w:rFonts w:cs="Times New Roman"/>
        </w:rPr>
        <w:t>抢抓“铜陵义安凤丹栽培系统”获批中国重要农业文化遗产机遇，加快研究出台《铜陵凤丹农业种植系统保护条例》《铜陵凤丹农业种植系统农业文化遗产保护与发展管理办法》《铜陵凤丹农业种植系统农业文化遗产保护与发展规划》等政策法规，建立系统的农业文化遗产保护体系，适时推进全球重要农业文化遗产（‌GIAHS）申报。强化凤丹与传统中医文化、农作习俗、诗词歌赋、民间传说等结合，谋划并积极推进铜陵凤丹文化展览馆建设，集中展示凤丹发展历程、市花精神内涵、凤丹特色标本、凤丹种植系统及加工技艺、凤丹种植加工特有农耕器具、凤丹饮食文化、凤丹书画及诗词歌赋、民间艺术、特色产品等。坚持“保护为主、抢救第一、合理利用、传承发展”非遗工作方针，开展凤丹制作技艺理论成果编辑出版、专题片拍摄、非遗传承人培养、特色文创产品开发等，推进顺安长山“御赐牡丹”等创新开发利用，鼓励盛度文化研究会做精做深御赐牡丹文化研讨及研究，支持凤丹书画院</w:t>
      </w:r>
      <w:r>
        <w:rPr>
          <w:rFonts w:hint="eastAsia" w:cs="Times New Roman"/>
        </w:rPr>
        <w:t>等</w:t>
      </w:r>
      <w:r>
        <w:rPr>
          <w:rFonts w:cs="Times New Roman"/>
        </w:rPr>
        <w:t>开展凤丹文创产品开发、凤丹文化研究及活动策划推广，常态化开展凤丹文化进社区、进校园等活动。</w:t>
      </w:r>
    </w:p>
    <w:p w14:paraId="373C4341">
      <w:pPr>
        <w:pStyle w:val="4"/>
        <w:rPr>
          <w:rFonts w:cs="Times New Roman"/>
        </w:rPr>
      </w:pPr>
      <w:bookmarkStart w:id="109" w:name="_Toc180074453"/>
      <w:bookmarkStart w:id="110" w:name="_Toc180021003"/>
      <w:bookmarkStart w:id="111" w:name="_Toc173425552"/>
      <w:r>
        <w:rPr>
          <w:rFonts w:cs="Times New Roman"/>
        </w:rPr>
        <w:t>2、丰富凤丹文旅载体与产品服务</w:t>
      </w:r>
      <w:bookmarkEnd w:id="109"/>
      <w:bookmarkEnd w:id="110"/>
      <w:bookmarkEnd w:id="111"/>
    </w:p>
    <w:p w14:paraId="1DECD787">
      <w:pPr>
        <w:pStyle w:val="5"/>
        <w:spacing w:before="217" w:after="217"/>
        <w:ind w:firstLine="640"/>
        <w:rPr>
          <w:rFonts w:cs="Times New Roman"/>
        </w:rPr>
      </w:pPr>
      <w:r>
        <w:rPr>
          <w:rFonts w:cs="Times New Roman"/>
        </w:rPr>
        <w:t>加快凤丹文旅载体建设，重点推进凤凰山景区改造升级，建设铜陵牡丹文化产业园、百年凤丹园、千年御赐牡丹园、温室牡丹花房等，将凤凰山景区打造成全国凤丹品种最全、江南适种牡丹品种最全的特色牡丹园，加快梧桐花谷景区牡丹园等改造升级，完善基础设施配套、民居改造等；依托“千村引领、万村升级”工程，重点围绕金凤村、星月村、凤凰山村等打造一批以凤丹为特色的和美乡村精品示范村、乡村旅游重点村，探索开发牡丹认领、插花、花卉写生、牡丹鲜食制作、凤丹美食品鉴等研学旅游、乡村旅游产品和业态，结合义安区旅游风景廊道推出一批凤丹主题精品旅游线路。结合城市绿地公园建设，推进凤丹主题观赏园、凤丹景观装置等元素融入天井湖公园、青年公园、翠湖公园、滨江生态公园等城市公园建设，论证临津公园、羊湖公园改造建设凤丹公园打造凤丹城市会客厅的可行性，鼓励在街头公园、口袋公园绿化美化中栽植凤丹。依托铜官山1978文创园、铜图文创中心、铜陵市牡丹书画院等，加快凤丹主题的徽秀、书画、邮票、陶瓷、装饰品、伴手礼、时尚服饰等文创产品开发</w:t>
      </w:r>
      <w:r>
        <w:rPr>
          <w:rFonts w:hint="eastAsia" w:cs="Times New Roman"/>
        </w:rPr>
        <w:t>；支持凤丹企业、餐饮企业等</w:t>
      </w:r>
      <w:r>
        <w:rPr>
          <w:rFonts w:cs="Times New Roman"/>
        </w:rPr>
        <w:t>创新凤丹相关低糖、低卡即食食品、休闲食品、凤丹宴等特色美食开发，依托中国好礼评选、“铜都好味道”评选、长街宴等加大特色美食宣传推广，培养凤丹消费习惯。创新产品服务方式，打造数字文旅全景平台，创新虚拟旅游、沉浸式体验、元宇宙虚实共融、实景剧本杀等产品服务模式，鼓励发展凤丹主题数字藏品、数字纪念品、数字人导游、数字影视、数字游戏等</w:t>
      </w:r>
      <w:r>
        <w:rPr>
          <w:rFonts w:hint="eastAsia" w:cs="Times New Roman"/>
        </w:rPr>
        <w:t>，</w:t>
      </w:r>
      <w:r>
        <w:rPr>
          <w:rFonts w:cs="Times New Roman"/>
        </w:rPr>
        <w:t>谋划打造凤凰山大型实景演艺剧目，探索通过低空经济拓展文旅新型</w:t>
      </w:r>
      <w:r>
        <w:rPr>
          <w:rFonts w:hint="eastAsia" w:cs="Times New Roman"/>
        </w:rPr>
        <w:t>消费场景</w:t>
      </w:r>
      <w:r>
        <w:rPr>
          <w:rFonts w:cs="Times New Roman"/>
        </w:rPr>
        <w:t>。</w:t>
      </w:r>
    </w:p>
    <w:p w14:paraId="22151163">
      <w:pPr>
        <w:pStyle w:val="4"/>
        <w:rPr>
          <w:rFonts w:cs="Times New Roman"/>
        </w:rPr>
      </w:pPr>
      <w:bookmarkStart w:id="112" w:name="_Toc180021004"/>
      <w:bookmarkStart w:id="113" w:name="_Toc180074454"/>
      <w:bookmarkStart w:id="114" w:name="_Toc173425553"/>
      <w:r>
        <w:rPr>
          <w:rFonts w:cs="Times New Roman"/>
        </w:rPr>
        <w:t>3、加快推进铜陵凤丹文旅IP打造</w:t>
      </w:r>
      <w:bookmarkEnd w:id="112"/>
      <w:bookmarkEnd w:id="113"/>
      <w:bookmarkEnd w:id="114"/>
    </w:p>
    <w:p w14:paraId="1D48D769">
      <w:pPr>
        <w:pStyle w:val="5"/>
        <w:spacing w:before="217" w:after="217"/>
        <w:ind w:firstLine="640"/>
        <w:rPr>
          <w:rFonts w:cs="Times New Roman"/>
        </w:rPr>
      </w:pPr>
      <w:r>
        <w:rPr>
          <w:rFonts w:cs="Times New Roman"/>
        </w:rPr>
        <w:t>立足义安区全域旅游发展，打造“凤丹之乡”文旅IP，推进以凤丹为核心元素的文旅标识、虚拟形象代言人设计，加强“凤丹之乡”文旅IP周边产品开发和IP标识应用宣传等。争取省级支持，依托中国（铜陵）凤丹文化旅游月活动升级举办中国安徽南方牡丹文化旅游节，强化与菏泽国际牡丹文化旅游节、中国洛阳牡丹文化节、芜湖市中国（南陵）南方牡丹文化旅游节合作互动，做精、做优江南铜谷风景道徒步大会、梧桐花谷郁金香季等特色节庆文旅活动。创新凤丹主题会议会展、文旅活动，策划南方牡丹产业创新发展峰会、凤凰山凤丹农耕文化节、凤丹地方美食节、凤丹书画节、凤凰山露营大会等活动，争取世界牡丹大会在铜设立分会场、中国园艺学会牡丹芍药分会学术年会在铜举办。围绕安徽十大春游“盛宴”场景，邀请官方媒体和网络达人来铜踩线采风活动，加强凤丹主题摄影图片、攻略、游记、短视频、路线图等产出和发布，借助“春游江淮”创意推广大赛、“我眼中的中国—一城一品”短视频大赛、“绿水青山·美丽中国”全国短视频大赛等提升凤丹文旅知名度和影响力。</w:t>
      </w:r>
    </w:p>
    <w:p w14:paraId="1FA3B6F8">
      <w:pPr>
        <w:pStyle w:val="5"/>
        <w:pBdr>
          <w:top w:val="single" w:color="auto" w:sz="4" w:space="1"/>
          <w:left w:val="single" w:color="auto" w:sz="4" w:space="4"/>
          <w:right w:val="single" w:color="auto" w:sz="4" w:space="4"/>
        </w:pBdr>
        <w:adjustRightInd w:val="0"/>
        <w:snapToGrid w:val="0"/>
        <w:spacing w:before="0" w:beforeLines="0" w:after="0" w:afterLines="0" w:line="240" w:lineRule="auto"/>
        <w:ind w:firstLine="0" w:firstLineChars="0"/>
        <w:jc w:val="center"/>
        <w:rPr>
          <w:rFonts w:cs="Times New Roman"/>
          <w:b/>
          <w:bCs/>
          <w:sz w:val="21"/>
          <w:szCs w:val="21"/>
        </w:rPr>
      </w:pPr>
      <w:r>
        <w:rPr>
          <w:rFonts w:cs="Times New Roman"/>
          <w:b/>
          <w:bCs/>
          <w:sz w:val="21"/>
          <w:szCs w:val="21"/>
        </w:rPr>
        <w:t>专栏4：“人文凤丹”建设重点项目</w:t>
      </w:r>
    </w:p>
    <w:p w14:paraId="3E3E313A">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1、“铜陵义安凤丹栽培系统”创建全球重要农业文化遗产项目：</w:t>
      </w:r>
      <w:r>
        <w:rPr>
          <w:rFonts w:cs="Times New Roman"/>
          <w:sz w:val="21"/>
          <w:szCs w:val="21"/>
        </w:rPr>
        <w:t>总投资100万元，建设周期2025-2030年，立足“铜陵义安凤丹栽培系统”中国重要农业文化遗产基础，升级创建全球重要农业文化遗产。</w:t>
      </w:r>
    </w:p>
    <w:p w14:paraId="234CC81F">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2、中国（铜陵）凤丹文化旅游月项目：</w:t>
      </w:r>
      <w:r>
        <w:rPr>
          <w:rFonts w:cs="Times New Roman"/>
          <w:sz w:val="21"/>
          <w:szCs w:val="21"/>
        </w:rPr>
        <w:t>建设周期202</w:t>
      </w:r>
      <w:r>
        <w:rPr>
          <w:rFonts w:hint="eastAsia" w:cs="Times New Roman"/>
          <w:sz w:val="21"/>
          <w:szCs w:val="21"/>
        </w:rPr>
        <w:t>5</w:t>
      </w:r>
      <w:r>
        <w:rPr>
          <w:rFonts w:cs="Times New Roman"/>
          <w:sz w:val="21"/>
          <w:szCs w:val="21"/>
        </w:rPr>
        <w:t>-2030年，常态化年度举办中国（铜陵）凤丹文化旅游月，举行“探千年秘境 赏盛世凤丹”江南铜谷旅游风景道徒步大会、抖音短视频大赛、铜陵凤丹产业发展座谈会、凤丹系列产品暨义安农特优（旅游）产品展销会等。</w:t>
      </w:r>
    </w:p>
    <w:p w14:paraId="24430CCE">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3、铜陵牡丹文化产业园建设项目：</w:t>
      </w:r>
      <w:r>
        <w:rPr>
          <w:rFonts w:cs="Times New Roman"/>
          <w:sz w:val="21"/>
          <w:szCs w:val="21"/>
        </w:rPr>
        <w:t>建设周期202</w:t>
      </w:r>
      <w:r>
        <w:rPr>
          <w:rFonts w:hint="eastAsia" w:cs="Times New Roman"/>
          <w:sz w:val="21"/>
          <w:szCs w:val="21"/>
        </w:rPr>
        <w:t>5</w:t>
      </w:r>
      <w:r>
        <w:rPr>
          <w:rFonts w:cs="Times New Roman"/>
          <w:sz w:val="21"/>
          <w:szCs w:val="21"/>
        </w:rPr>
        <w:t>-2030年，在义安区顺安镇凤凰山村，建设凤丹休闲观光区、种苗培育区、种植示范区、生产加工区，形成种植、加工、研发、销售、旅游等于一体的综合性凤丹体验区。</w:t>
      </w:r>
    </w:p>
    <w:p w14:paraId="4AC17C98">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4、凤丹主题微公园建设项目：</w:t>
      </w:r>
      <w:r>
        <w:rPr>
          <w:rFonts w:cs="Times New Roman"/>
          <w:sz w:val="21"/>
          <w:szCs w:val="21"/>
        </w:rPr>
        <w:t>总投资300万元，建设周期2025-2030年，在全市范围内建设不少于6个牡丹主题的街头公园、口袋公园。</w:t>
      </w:r>
    </w:p>
    <w:p w14:paraId="0E7CA5D3">
      <w:pPr>
        <w:pStyle w:val="3"/>
        <w:spacing w:before="217" w:after="217"/>
        <w:ind w:firstLine="643"/>
        <w:rPr>
          <w:rFonts w:cs="Times New Roman"/>
          <w:b/>
          <w:bCs w:val="0"/>
        </w:rPr>
      </w:pPr>
      <w:bookmarkStart w:id="115" w:name="_Toc180074455"/>
      <w:r>
        <w:rPr>
          <w:rFonts w:cs="Times New Roman"/>
          <w:b/>
          <w:bCs w:val="0"/>
        </w:rPr>
        <w:t>五、实施凤丹绿色提质行动，打造生态凤丹</w:t>
      </w:r>
      <w:bookmarkEnd w:id="115"/>
    </w:p>
    <w:p w14:paraId="5EF2387D">
      <w:pPr>
        <w:pStyle w:val="4"/>
        <w:rPr>
          <w:rFonts w:cs="Times New Roman"/>
        </w:rPr>
      </w:pPr>
      <w:bookmarkStart w:id="116" w:name="_Toc173425556"/>
      <w:bookmarkStart w:id="117" w:name="_Toc180074456"/>
      <w:bookmarkStart w:id="118" w:name="_Toc180021006"/>
      <w:r>
        <w:rPr>
          <w:rFonts w:cs="Times New Roman"/>
        </w:rPr>
        <w:t>1、建立绿色低碳生产经营方式</w:t>
      </w:r>
      <w:bookmarkEnd w:id="116"/>
      <w:bookmarkEnd w:id="117"/>
      <w:bookmarkEnd w:id="118"/>
    </w:p>
    <w:p w14:paraId="0D6DED07">
      <w:pPr>
        <w:pStyle w:val="5"/>
        <w:spacing w:before="217" w:after="217"/>
        <w:ind w:firstLine="640"/>
        <w:rPr>
          <w:rFonts w:cs="Times New Roman"/>
        </w:rPr>
      </w:pPr>
      <w:r>
        <w:rPr>
          <w:rFonts w:cs="Times New Roman"/>
        </w:rPr>
        <w:t>巩固推广义安区“农业绿色发展先行区试点县（区）”成果及技术，加快义安区“国家农业绿色发展先行区”创建步伐。坚持绿色循环理念，推行凤丹集约化、清洁化、标准化生产方式，创新凤丹轮作、套作、间作等种植模式，开展凤丹与一年生中药材、绿化苗木、经济林木、蔬菜</w:t>
      </w:r>
      <w:bookmarkStart w:id="119" w:name="_Hlk179926996"/>
      <w:r>
        <w:rPr>
          <w:rFonts w:cs="Times New Roman"/>
        </w:rPr>
        <w:t>间作套种模式</w:t>
      </w:r>
      <w:bookmarkEnd w:id="119"/>
      <w:r>
        <w:rPr>
          <w:rFonts w:cs="Times New Roman"/>
        </w:rPr>
        <w:t>经济效益评价，创新特色高效种植模式。进一步加强根、茎、叶、花蕊、花瓣、花籽综合开发与重复利用，推进凤丹籽榨油废弃物“籽粕”精深加工制作优质蛋白饲料，构建“籽粕饲料—无公害养殖—沼气生产—沼渣有机肥制备返还凤丹种植利用”循环生产链条；推进凤丹果壳籽壳再利用发展食用菌菌包生产、菌菇种植等。开展化肥、农药等投入品减量替代，加大有机肥替代化肥技术、测土配方施肥技术、秸秆还田技术、水肥一体化等技术推广力度，提高生物农药使用覆盖面。推广农业综合防控、物理防控、生物防控等绿色防控技术。</w:t>
      </w:r>
    </w:p>
    <w:p w14:paraId="4D2AE24F">
      <w:pPr>
        <w:pStyle w:val="4"/>
        <w:rPr>
          <w:rFonts w:cs="Times New Roman"/>
        </w:rPr>
      </w:pPr>
      <w:bookmarkStart w:id="120" w:name="_Toc180074457"/>
      <w:bookmarkStart w:id="121" w:name="_Toc180021007"/>
      <w:r>
        <w:rPr>
          <w:rFonts w:cs="Times New Roman"/>
        </w:rPr>
        <w:t>2、创新凤丹生态价值实现路径</w:t>
      </w:r>
      <w:bookmarkEnd w:id="120"/>
      <w:bookmarkEnd w:id="121"/>
    </w:p>
    <w:p w14:paraId="74770C6B">
      <w:pPr>
        <w:pStyle w:val="5"/>
        <w:spacing w:before="217" w:after="217"/>
        <w:ind w:firstLine="640"/>
        <w:rPr>
          <w:rFonts w:cs="Times New Roman"/>
        </w:rPr>
      </w:pPr>
      <w:r>
        <w:rPr>
          <w:rFonts w:cs="Times New Roman"/>
        </w:rPr>
        <w:t>充分挖掘凤丹在矿山修复、生态绿化、城市美化等领域的潜力和价值，加强与铜陵有色集团合作，放大凤丹在尾矿库生态修复、景观再造、产业导入方面价值，探索在叶家湾等尾矿库建设凤丹园、观赏凤丹育苗基地；坚持“能栽尽栽”的原则，发挥凤丹在植被绿化、景观营造等领域价值，鼓励在街头公园、口袋公园、道路绿化、城市景观营造中栽植凤丹；结合市域小流域治理工程、水土保持项目工程、沟道治理等，试点开展观赏类凤丹、油用牡丹在岸堤绿化、坡面治理、水土保持等环节的栽植。强化与协鑫新能源、</w:t>
      </w:r>
      <w:bookmarkStart w:id="122" w:name="OLE_LINK9"/>
      <w:r>
        <w:rPr>
          <w:rFonts w:cs="Times New Roman"/>
        </w:rPr>
        <w:t>林洋集团</w:t>
      </w:r>
      <w:bookmarkEnd w:id="122"/>
      <w:r>
        <w:rPr>
          <w:rFonts w:cs="Times New Roman"/>
        </w:rPr>
        <w:t>等企业合作，拓展“光伏+牡丹”农光互补、林光互补发展模式，重点在生态治理区、矿区修复区建设一批“光伏+牡丹”项目。保护凤丹-水稻轮作、凤丹-水稻-旱作-凤丹轮作等年际景观及村寨-凤丹园镶嵌复合景观，加强凤丹种植系统复合景观在和美乡村建设、农业功能拓展等方面的价值体现。强化与安徽省林科院等机构合作，探索凤丹间套海棠、紫叶李等绿化苗木及凤丹间套香椿、薄壳山核桃等经济林木种植模式下的林业碳汇开发模式，重点围绕香椿、薄壳山核桃等安徽省林业碳汇推荐树种开发林业“碳票”，支持中国（铜陵）凤丹文化旅游</w:t>
      </w:r>
      <w:r>
        <w:rPr>
          <w:rFonts w:hint="eastAsia" w:cs="Times New Roman"/>
        </w:rPr>
        <w:t>月</w:t>
      </w:r>
      <w:r>
        <w:rPr>
          <w:rFonts w:cs="Times New Roman"/>
        </w:rPr>
        <w:t>通过购买碳减排额度等形式打造“零碳”节会。</w:t>
      </w:r>
    </w:p>
    <w:p w14:paraId="34D888F9">
      <w:pPr>
        <w:pStyle w:val="5"/>
        <w:pBdr>
          <w:top w:val="single" w:color="auto" w:sz="4" w:space="1"/>
          <w:left w:val="single" w:color="auto" w:sz="4" w:space="4"/>
          <w:right w:val="single" w:color="auto" w:sz="4" w:space="4"/>
        </w:pBdr>
        <w:adjustRightInd w:val="0"/>
        <w:snapToGrid w:val="0"/>
        <w:spacing w:before="217" w:after="0" w:afterLines="0" w:line="240" w:lineRule="auto"/>
        <w:ind w:firstLine="0" w:firstLineChars="0"/>
        <w:jc w:val="center"/>
        <w:rPr>
          <w:rFonts w:cs="Times New Roman"/>
          <w:b/>
          <w:bCs/>
          <w:sz w:val="21"/>
          <w:szCs w:val="21"/>
        </w:rPr>
      </w:pPr>
      <w:r>
        <w:rPr>
          <w:rFonts w:cs="Times New Roman"/>
          <w:b/>
          <w:bCs/>
          <w:sz w:val="21"/>
          <w:szCs w:val="21"/>
        </w:rPr>
        <w:t>专栏5：“生态凤丹”建设重点项目</w:t>
      </w:r>
    </w:p>
    <w:p w14:paraId="720B809C">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1、义安区国家农业绿色发展先行区创建项目：</w:t>
      </w:r>
      <w:r>
        <w:rPr>
          <w:rFonts w:cs="Times New Roman"/>
          <w:sz w:val="21"/>
          <w:szCs w:val="21"/>
        </w:rPr>
        <w:t>总投资30万元，建设周期202</w:t>
      </w:r>
      <w:r>
        <w:rPr>
          <w:rFonts w:hint="eastAsia" w:cs="Times New Roman"/>
          <w:sz w:val="21"/>
          <w:szCs w:val="21"/>
        </w:rPr>
        <w:t>5</w:t>
      </w:r>
      <w:r>
        <w:rPr>
          <w:rFonts w:cs="Times New Roman"/>
          <w:sz w:val="21"/>
          <w:szCs w:val="21"/>
        </w:rPr>
        <w:t>-2026年，于202</w:t>
      </w:r>
      <w:r>
        <w:rPr>
          <w:rFonts w:hint="eastAsia" w:cs="Times New Roman"/>
          <w:sz w:val="21"/>
          <w:szCs w:val="21"/>
        </w:rPr>
        <w:t>7</w:t>
      </w:r>
      <w:r>
        <w:rPr>
          <w:rFonts w:cs="Times New Roman"/>
          <w:sz w:val="21"/>
          <w:szCs w:val="21"/>
        </w:rPr>
        <w:t>年前将义安区成功创建为国家农业绿色发展先行区。</w:t>
      </w:r>
    </w:p>
    <w:p w14:paraId="69AE720F">
      <w:pPr>
        <w:pStyle w:val="5"/>
        <w:pBdr>
          <w:top w:val="single" w:color="auto" w:sz="4" w:space="1"/>
          <w:left w:val="single" w:color="auto" w:sz="4" w:space="4"/>
          <w:bottom w:val="single" w:color="auto" w:sz="4" w:space="1"/>
          <w:right w:val="single" w:color="auto" w:sz="4" w:space="4"/>
        </w:pBdr>
        <w:adjustRightInd w:val="0"/>
        <w:snapToGrid w:val="0"/>
        <w:spacing w:before="0" w:beforeLines="0" w:after="0" w:afterLines="0" w:line="240" w:lineRule="auto"/>
        <w:ind w:firstLine="422"/>
        <w:rPr>
          <w:rFonts w:cs="Times New Roman"/>
          <w:sz w:val="21"/>
          <w:szCs w:val="21"/>
        </w:rPr>
      </w:pPr>
      <w:r>
        <w:rPr>
          <w:rFonts w:cs="Times New Roman"/>
          <w:b/>
          <w:bCs/>
          <w:sz w:val="21"/>
          <w:szCs w:val="21"/>
        </w:rPr>
        <w:t>2、凤丹间套作模式试验示范项目：</w:t>
      </w:r>
      <w:r>
        <w:rPr>
          <w:rFonts w:cs="Times New Roman"/>
          <w:sz w:val="21"/>
          <w:szCs w:val="21"/>
        </w:rPr>
        <w:t>建设周期2025-2030年，依托中科院植物所、安徽省农科院等科研院所，开展凤丹与中药材、绿化苗木、香椿、薄壳山核桃、蔬菜等间作套种模式试验种植，筛选构建特色高效的绿色复合种植模式。</w:t>
      </w:r>
    </w:p>
    <w:p w14:paraId="7C87ED3D">
      <w:pPr>
        <w:pStyle w:val="2"/>
        <w:spacing w:before="217" w:after="217"/>
        <w:ind w:firstLine="643"/>
        <w:rPr>
          <w:rFonts w:cs="Times New Roman"/>
        </w:rPr>
      </w:pPr>
      <w:bookmarkStart w:id="123" w:name="_Toc180074458"/>
      <w:r>
        <w:rPr>
          <w:rFonts w:cs="Times New Roman"/>
        </w:rPr>
        <w:t>第五章 保障措施</w:t>
      </w:r>
      <w:bookmarkEnd w:id="123"/>
    </w:p>
    <w:p w14:paraId="05A539D9">
      <w:pPr>
        <w:pStyle w:val="3"/>
        <w:spacing w:before="217" w:after="217"/>
        <w:ind w:firstLine="643"/>
        <w:rPr>
          <w:rFonts w:cs="Times New Roman"/>
          <w:b/>
          <w:bCs w:val="0"/>
        </w:rPr>
      </w:pPr>
      <w:bookmarkStart w:id="124" w:name="_Toc180074459"/>
      <w:r>
        <w:rPr>
          <w:rFonts w:cs="Times New Roman"/>
          <w:b/>
          <w:bCs w:val="0"/>
        </w:rPr>
        <w:t>一、加强组织领导</w:t>
      </w:r>
      <w:bookmarkEnd w:id="124"/>
    </w:p>
    <w:p w14:paraId="2EA8DC13">
      <w:pPr>
        <w:pStyle w:val="5"/>
        <w:spacing w:before="217" w:after="217"/>
        <w:ind w:firstLine="640"/>
        <w:rPr>
          <w:rFonts w:cs="Times New Roman"/>
        </w:rPr>
      </w:pPr>
      <w:r>
        <w:rPr>
          <w:rFonts w:cs="Times New Roman"/>
        </w:rPr>
        <w:t>始终坚持党对“三农”工作的领导，充分发挥各级党组织的领导核心和总揽全局、协调各方的积极作用，形成上下联动、多方参与共同推进凤丹产业高质量发展的良好格局。组建凤丹产业工作</w:t>
      </w:r>
      <w:r>
        <w:rPr>
          <w:rFonts w:hint="eastAsia" w:cs="Times New Roman"/>
          <w:lang w:val="en-US" w:eastAsia="zh-CN"/>
        </w:rPr>
        <w:t>专班</w:t>
      </w:r>
      <w:r>
        <w:rPr>
          <w:rFonts w:cs="Times New Roman"/>
        </w:rPr>
        <w:t>，负责协调解决全市凤丹产业发展中的重大问题、重大决策、争取省市资金支持和重大项目等。建立农业农村部门牵头抓总、相关部门协同配合、社会力量积极支持、农民群众广泛参与的推进机制，凝聚全社会力量推动凤丹产业高质量发展的共识。组建凤丹产业专家咨询委员会</w:t>
      </w:r>
      <w:r>
        <w:rPr>
          <w:rFonts w:hint="eastAsia" w:cs="Times New Roman"/>
        </w:rPr>
        <w:t>和专家指导组</w:t>
      </w:r>
      <w:r>
        <w:rPr>
          <w:rFonts w:cs="Times New Roman"/>
        </w:rPr>
        <w:t>，吸纳农业规划、产业经济、农业经济、休闲旅游、质量标准、品牌建设等领域专家教授，为凤丹产业高质量发展提供决策咨询、科研指导等。争取国家相关部委、省级相关部门支持，探索建立</w:t>
      </w:r>
      <w:r>
        <w:rPr>
          <w:rFonts w:hint="eastAsia" w:cs="Times New Roman"/>
        </w:rPr>
        <w:t>部委、</w:t>
      </w:r>
      <w:r>
        <w:rPr>
          <w:rFonts w:cs="Times New Roman"/>
        </w:rPr>
        <w:t>省</w:t>
      </w:r>
      <w:r>
        <w:rPr>
          <w:rFonts w:hint="eastAsia" w:cs="Times New Roman"/>
        </w:rPr>
        <w:t>、</w:t>
      </w:r>
      <w:r>
        <w:rPr>
          <w:rFonts w:cs="Times New Roman"/>
        </w:rPr>
        <w:t>市合作推进南方牡丹高质量发展机制。</w:t>
      </w:r>
    </w:p>
    <w:p w14:paraId="1F0F9F1E">
      <w:pPr>
        <w:pStyle w:val="3"/>
        <w:spacing w:before="217" w:after="217"/>
        <w:ind w:firstLine="643"/>
        <w:rPr>
          <w:rFonts w:cs="Times New Roman"/>
          <w:b/>
          <w:bCs w:val="0"/>
        </w:rPr>
      </w:pPr>
      <w:bookmarkStart w:id="125" w:name="_Toc180074460"/>
      <w:r>
        <w:rPr>
          <w:rFonts w:cs="Times New Roman"/>
          <w:b/>
          <w:bCs w:val="0"/>
        </w:rPr>
        <w:t>二、加强政策支持</w:t>
      </w:r>
      <w:bookmarkEnd w:id="125"/>
    </w:p>
    <w:p w14:paraId="3558100D">
      <w:pPr>
        <w:pStyle w:val="5"/>
        <w:spacing w:before="217" w:after="217"/>
        <w:ind w:firstLine="640"/>
        <w:rPr>
          <w:rFonts w:cs="Times New Roman"/>
        </w:rPr>
      </w:pPr>
      <w:r>
        <w:rPr>
          <w:rFonts w:cs="Times New Roman"/>
        </w:rPr>
        <w:t>围绕《铜陵市凤丹产业高质量发展规划（202</w:t>
      </w:r>
      <w:r>
        <w:rPr>
          <w:rFonts w:hint="eastAsia" w:cs="Times New Roman"/>
        </w:rPr>
        <w:t>5</w:t>
      </w:r>
      <w:r>
        <w:rPr>
          <w:rFonts w:cs="Times New Roman"/>
        </w:rPr>
        <w:t>—2035年）》，配套出台支持凤丹产业发展的支持政策和相关管理办法，各区县、园区管委会结合实际情况细化政策实施方案，建立“产业发展规划+专项支持政策+细化实施方案”“1+1+N”的凤丹产业高质量发展政策体系。进一步完善铜陵凤丹农业种植系统保护、地理标志产品保护、区域公用品牌规范使用、凤丹种质资源保护等政策法规，为产业重点领域、关键环节发展提供强大政策保障。立足《铜陵市现代农业和</w:t>
      </w:r>
      <w:r>
        <w:rPr>
          <w:rFonts w:hint="eastAsia" w:cs="Times New Roman"/>
          <w:lang w:val="en-US" w:eastAsia="zh-CN"/>
        </w:rPr>
        <w:t>绿色食品</w:t>
      </w:r>
      <w:r>
        <w:rPr>
          <w:rFonts w:cs="Times New Roman"/>
        </w:rPr>
        <w:t>产业</w:t>
      </w:r>
      <w:r>
        <w:rPr>
          <w:rFonts w:hint="eastAsia" w:cs="Times New Roman"/>
          <w:lang w:val="en-US" w:eastAsia="zh-CN"/>
        </w:rPr>
        <w:t>链</w:t>
      </w:r>
      <w:r>
        <w:rPr>
          <w:rFonts w:cs="Times New Roman"/>
        </w:rPr>
        <w:t>“链长制”招商工作方案》，</w:t>
      </w:r>
      <w:r>
        <w:rPr>
          <w:rFonts w:hint="eastAsia" w:cs="Times New Roman"/>
        </w:rPr>
        <w:t>整合现有政策，进一步完善举措，以生态化、平台化思维加强中国500强企业、农业上市公司、国家级农业产业化龙头企业等招引</w:t>
      </w:r>
      <w:r>
        <w:rPr>
          <w:rFonts w:cs="Times New Roman"/>
        </w:rPr>
        <w:t>。研究争取</w:t>
      </w:r>
      <w:r>
        <w:rPr>
          <w:rFonts w:hint="eastAsia" w:cs="Times New Roman"/>
        </w:rPr>
        <w:t>中央、安徽省</w:t>
      </w:r>
      <w:r>
        <w:rPr>
          <w:rFonts w:cs="Times New Roman"/>
        </w:rPr>
        <w:t>农业相关产业支持政策和国家开发银行、农业开发银行等政策性金融机构支持政策。</w:t>
      </w:r>
    </w:p>
    <w:p w14:paraId="0E6C8783">
      <w:pPr>
        <w:pStyle w:val="3"/>
        <w:spacing w:before="217" w:after="217"/>
        <w:ind w:firstLine="643"/>
        <w:rPr>
          <w:rFonts w:cs="Times New Roman"/>
          <w:b/>
          <w:bCs w:val="0"/>
        </w:rPr>
      </w:pPr>
      <w:bookmarkStart w:id="126" w:name="_Toc180074461"/>
      <w:r>
        <w:rPr>
          <w:rFonts w:cs="Times New Roman"/>
          <w:b/>
          <w:bCs w:val="0"/>
        </w:rPr>
        <w:t>三、加强资金投入</w:t>
      </w:r>
      <w:bookmarkEnd w:id="126"/>
    </w:p>
    <w:p w14:paraId="74975652">
      <w:pPr>
        <w:pStyle w:val="5"/>
        <w:spacing w:before="217" w:after="217"/>
        <w:ind w:firstLine="640"/>
        <w:rPr>
          <w:rFonts w:cs="Times New Roman"/>
        </w:rPr>
      </w:pPr>
      <w:r>
        <w:rPr>
          <w:rFonts w:cs="Times New Roman"/>
        </w:rPr>
        <w:t>建立政府投入为引导、企业和专业合作组织、农民投入为主导的多元化凤丹产业投入机制，带动地方投资和各类社会资本参与凤丹产业发展。统筹涉农资金使用，在市级衔接资金和现代农业资金分配时优先向凤丹产业倾斜，加强国家农业综合开发资金等支持凤丹产业力度，探索将凤丹先进机械设备纳入农机补贴范围。</w:t>
      </w:r>
      <w:r>
        <w:rPr>
          <w:rFonts w:hint="eastAsia" w:cs="Times New Roman"/>
        </w:rPr>
        <w:t>按照市场化方式，对符合条件的凤丹全产业链</w:t>
      </w:r>
      <w:r>
        <w:rPr>
          <w:rFonts w:cs="Times New Roman"/>
        </w:rPr>
        <w:t>标准化种植、精深加工、文创产业、农旅融合等</w:t>
      </w:r>
      <w:r>
        <w:rPr>
          <w:rFonts w:hint="eastAsia" w:cs="Times New Roman"/>
        </w:rPr>
        <w:t>项目在市产业发展基金中予以支持</w:t>
      </w:r>
      <w:r>
        <w:rPr>
          <w:rFonts w:cs="Times New Roman"/>
        </w:rPr>
        <w:t>。</w:t>
      </w:r>
      <w:r>
        <w:rPr>
          <w:rFonts w:hint="eastAsia" w:cs="Times New Roman"/>
        </w:rPr>
        <w:t>抢抓超长期特别国债发行机遇，谋划一批凤丹产业重大项目，依托耀安集团等探索开展EOD产业投融资模式。</w:t>
      </w:r>
      <w:r>
        <w:rPr>
          <w:rFonts w:cs="Times New Roman"/>
        </w:rPr>
        <w:t>深化政企银长效合作机制，鼓励金融机构开发适合凤丹产业的特色普惠金融产品和服务，加大凤丹产业信贷投入，在风险可控的前提下适当调整贷款期限和利率。扩大税务部门“税融通”政策、“纳税信用绿卡”机制在凤丹产业领域的覆盖范围。完善凤丹特色保险体系，依托“农业保险+一揽子金融产品”行动试点，探索推广牡丹籽目标价格保险、凤丹种植保险</w:t>
      </w:r>
      <w:r>
        <w:rPr>
          <w:rFonts w:hint="eastAsia" w:cs="Times New Roman"/>
        </w:rPr>
        <w:t>等</w:t>
      </w:r>
      <w:r>
        <w:rPr>
          <w:rFonts w:cs="Times New Roman"/>
        </w:rPr>
        <w:t>，积极争取纳入省级奖补资金补贴范围。</w:t>
      </w:r>
    </w:p>
    <w:p w14:paraId="1BABE7EB">
      <w:pPr>
        <w:pStyle w:val="3"/>
        <w:spacing w:before="217" w:after="217"/>
        <w:ind w:firstLine="643"/>
        <w:rPr>
          <w:rFonts w:cs="Times New Roman"/>
          <w:b/>
          <w:bCs w:val="0"/>
        </w:rPr>
      </w:pPr>
      <w:bookmarkStart w:id="127" w:name="_Toc180074462"/>
      <w:r>
        <w:rPr>
          <w:rFonts w:cs="Times New Roman"/>
          <w:b/>
          <w:bCs w:val="0"/>
        </w:rPr>
        <w:t>四、加强监督考核</w:t>
      </w:r>
      <w:bookmarkEnd w:id="127"/>
    </w:p>
    <w:p w14:paraId="2CECF458">
      <w:pPr>
        <w:pStyle w:val="5"/>
        <w:spacing w:before="217" w:after="217"/>
        <w:ind w:firstLine="640"/>
        <w:rPr>
          <w:rFonts w:eastAsia="楷体_GB2312" w:cs="Times New Roman"/>
          <w:szCs w:val="32"/>
        </w:rPr>
      </w:pPr>
      <w:r>
        <w:rPr>
          <w:rFonts w:cs="Times New Roman"/>
        </w:rPr>
        <w:t>建立《铜陵市凤丹产业高质量发展规划（202</w:t>
      </w:r>
      <w:r>
        <w:rPr>
          <w:rFonts w:hint="eastAsia" w:cs="Times New Roman"/>
        </w:rPr>
        <w:t>5</w:t>
      </w:r>
      <w:r>
        <w:rPr>
          <w:rFonts w:cs="Times New Roman"/>
        </w:rPr>
        <w:t>—2035年）》及相关政策评价及动态调整机制，按照规划近中远期时间节点开展发展目标、重点举措、重点项目及相关支持政策重点方向等进行动态调整，确保规划与政策的科学性。强化考核工作力度，市凤丹产业高质量发展工作领导小组统筹做好工作调度、目标制定、任务分解和督导检查，将本规划相关指标纳入各区县、园区领导及部门综合评价和考核体系，各区县、园区要提高站位、高度重视、精心组织，按照相关部署要求，确保各项目标任务落实落细。建立联合督查机制，市区（县）两级要实时监测重大项目招引、重点工程建设、重点问题化解等情况，同时加强社会监督渠道投诉问题、意见建议等的分析研判、及时解决。建立完善的考核奖惩机制，市委市政府根据考核结果对凤丹产业发展成效显著的区县、园区、乡镇进行</w:t>
      </w:r>
      <w:r>
        <w:rPr>
          <w:rFonts w:hint="eastAsia" w:cs="Times New Roman"/>
        </w:rPr>
        <w:t>激励表扬</w:t>
      </w:r>
      <w:r>
        <w:rPr>
          <w:rFonts w:cs="Times New Roman"/>
        </w:rPr>
        <w:t>，对重视不够、工作后进的进行通报改进。</w:t>
      </w:r>
    </w:p>
    <w:p w14:paraId="6CD78EA8">
      <w:pPr>
        <w:pStyle w:val="3"/>
        <w:spacing w:before="217" w:after="217"/>
        <w:ind w:firstLine="643"/>
        <w:rPr>
          <w:rFonts w:cs="Times New Roman"/>
          <w:b/>
          <w:bCs w:val="0"/>
        </w:rPr>
      </w:pPr>
      <w:bookmarkStart w:id="128" w:name="_Toc180074463"/>
      <w:r>
        <w:rPr>
          <w:rFonts w:cs="Times New Roman"/>
          <w:b/>
          <w:bCs w:val="0"/>
        </w:rPr>
        <w:t>五、加强宣传引导</w:t>
      </w:r>
      <w:bookmarkEnd w:id="128"/>
    </w:p>
    <w:p w14:paraId="273571CD">
      <w:pPr>
        <w:pStyle w:val="5"/>
        <w:spacing w:before="217" w:after="217"/>
        <w:ind w:firstLine="640"/>
        <w:rPr>
          <w:rFonts w:eastAsia="楷体_GB2312" w:cs="Times New Roman"/>
          <w:b/>
          <w:szCs w:val="32"/>
        </w:rPr>
      </w:pPr>
      <w:r>
        <w:rPr>
          <w:rFonts w:cs="Times New Roman"/>
        </w:rPr>
        <w:t>加强凤丹产业高质量发展规划解读宣传，充分调动政府部门、新型经营主体、农户、科研机构、社会化服务组织等各方面积极性和主动性，凝聚共识、汇聚力量，形成促进凤丹产业发展的强大合力。统筹规划铜陵凤丹产业宣传推广方案，加快铜陵凤丹区域公用品牌、凤丹文旅IP等LOGO、品牌标识设计与推广应用，推进凤丹雕塑、艺术装置、凤丹书画等在城市核心区、高铁站、高速路口等宣传、展出。充分利用各类媒体及直播电商、兴趣电商、内容电商等新型营销方式等加强凤丹历史、品牌、文化等宣传推广，借助农博会、广交会、农高会、上海农交会、合肥农交会、绿色食品博览会及乡村旅游等节会展会多层次、多角度宣传凤丹优质特色产品。强化凤丹元素在体育赛事奖牌设计、工业展会纪念品制作、城市基础设施建设、城市礼物开发等领域的融合应用，全方位推进跨界宣传。挖掘树立一批先进典型企业、平台、个人、模式、经验做法等，开展集中学习、广泛宣传和观摩交流，放大示范引领作用。</w:t>
      </w:r>
    </w:p>
    <w:sectPr>
      <w:footerReference r:id="rId14" w:type="default"/>
      <w:footerReference r:id="rId15" w:type="even"/>
      <w:pgSz w:w="11906" w:h="16838"/>
      <w:pgMar w:top="1440" w:right="1800" w:bottom="1440" w:left="1800" w:header="851" w:footer="992" w:gutter="0"/>
      <w:pgNumType w:start="1"/>
      <w:cols w:space="425"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8E690">
    <w:pPr>
      <w:pStyle w:val="8"/>
      <w:spacing w:before="120" w:after="120"/>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6B605">
    <w:pPr>
      <w:pStyle w:val="8"/>
      <w:spacing w:before="120" w:after="120"/>
      <w:ind w:firstLine="0" w:firstLineChars="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109B0">
    <w:pPr>
      <w:pStyle w:val="8"/>
      <w:spacing w:before="120" w:after="120"/>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B0391">
    <w:pPr>
      <w:pStyle w:val="8"/>
      <w:spacing w:before="120" w:after="120"/>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8459420"/>
    </w:sdtPr>
    <w:sdtEndPr>
      <w:rPr>
        <w:sz w:val="24"/>
        <w:szCs w:val="24"/>
      </w:rPr>
    </w:sdtEndPr>
    <w:sdtContent>
      <w:p w14:paraId="14710ECF">
        <w:pPr>
          <w:pStyle w:val="8"/>
          <w:spacing w:before="120" w:after="120"/>
          <w:ind w:firstLine="360"/>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rPr>
          <w:t>II</w:t>
        </w:r>
        <w:r>
          <w:rPr>
            <w:sz w:val="24"/>
            <w:szCs w:val="24"/>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70937560"/>
    </w:sdtPr>
    <w:sdtEndPr>
      <w:rPr>
        <w:sz w:val="24"/>
        <w:szCs w:val="24"/>
      </w:rPr>
    </w:sdtEndPr>
    <w:sdtContent>
      <w:p w14:paraId="3AA067DF">
        <w:pPr>
          <w:pStyle w:val="8"/>
          <w:spacing w:before="120" w:after="120"/>
          <w:ind w:firstLine="360"/>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I</w:t>
        </w:r>
        <w:r>
          <w:rPr>
            <w:sz w:val="24"/>
            <w:szCs w:val="24"/>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0150359"/>
    </w:sdtPr>
    <w:sdtEndPr>
      <w:rPr>
        <w:rFonts w:cs="Times New Roman"/>
        <w:sz w:val="24"/>
        <w:szCs w:val="24"/>
      </w:rPr>
    </w:sdtEndPr>
    <w:sdtContent>
      <w:p w14:paraId="652435EF">
        <w:pPr>
          <w:pStyle w:val="8"/>
          <w:spacing w:before="120" w:after="120"/>
          <w:ind w:firstLine="360"/>
          <w:jc w:val="right"/>
          <w:rPr>
            <w:rFonts w:cs="Times New Roman"/>
            <w:sz w:val="24"/>
            <w:szCs w:val="24"/>
          </w:rPr>
        </w:pPr>
        <w:r>
          <w:rPr>
            <w:rFonts w:cs="Times New Roman"/>
            <w:sz w:val="24"/>
            <w:szCs w:val="24"/>
          </w:rPr>
          <w:t>—</w:t>
        </w:r>
        <w:r>
          <w:rPr>
            <w:rFonts w:cs="Times New Roman"/>
            <w:sz w:val="24"/>
            <w:szCs w:val="24"/>
          </w:rPr>
          <w:fldChar w:fldCharType="begin"/>
        </w:r>
        <w:r>
          <w:rPr>
            <w:rFonts w:cs="Times New Roman"/>
            <w:sz w:val="24"/>
            <w:szCs w:val="24"/>
          </w:rPr>
          <w:instrText xml:space="preserve">PAGE   \* MERGEFORMAT</w:instrText>
        </w:r>
        <w:r>
          <w:rPr>
            <w:rFonts w:cs="Times New Roman"/>
            <w:sz w:val="24"/>
            <w:szCs w:val="24"/>
          </w:rPr>
          <w:fldChar w:fldCharType="separate"/>
        </w:r>
        <w:r>
          <w:rPr>
            <w:rFonts w:cs="Times New Roman"/>
            <w:sz w:val="24"/>
            <w:szCs w:val="24"/>
          </w:rPr>
          <w:t>35</w:t>
        </w:r>
        <w:r>
          <w:rPr>
            <w:rFonts w:cs="Times New Roman"/>
            <w:sz w:val="24"/>
            <w:szCs w:val="24"/>
          </w:rPr>
          <w:fldChar w:fldCharType="end"/>
        </w:r>
        <w:r>
          <w:rPr>
            <w:rFonts w:cs="Times New Roman"/>
            <w:sz w:val="24"/>
            <w:szCs w:val="24"/>
          </w:rPr>
          <w:t>—</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9815627"/>
    </w:sdtPr>
    <w:sdtEndPr>
      <w:rPr>
        <w:rFonts w:cs="Times New Roman"/>
        <w:sz w:val="24"/>
        <w:szCs w:val="24"/>
      </w:rPr>
    </w:sdtEndPr>
    <w:sdtContent>
      <w:p w14:paraId="2321D1A0">
        <w:pPr>
          <w:pStyle w:val="8"/>
          <w:spacing w:before="120" w:after="120"/>
          <w:ind w:firstLine="0" w:firstLineChars="0"/>
          <w:rPr>
            <w:rFonts w:cs="Times New Roman"/>
            <w:sz w:val="24"/>
            <w:szCs w:val="24"/>
          </w:rPr>
        </w:pPr>
        <w:r>
          <w:rPr>
            <w:rFonts w:cs="Times New Roman"/>
            <w:sz w:val="24"/>
            <w:szCs w:val="24"/>
          </w:rPr>
          <w:t>—</w:t>
        </w:r>
        <w:r>
          <w:rPr>
            <w:rFonts w:cs="Times New Roman"/>
            <w:sz w:val="24"/>
            <w:szCs w:val="24"/>
          </w:rPr>
          <w:fldChar w:fldCharType="begin"/>
        </w:r>
        <w:r>
          <w:rPr>
            <w:rFonts w:cs="Times New Roman"/>
            <w:sz w:val="24"/>
            <w:szCs w:val="24"/>
          </w:rPr>
          <w:instrText xml:space="preserve">PAGE   \* MERGEFORMAT</w:instrText>
        </w:r>
        <w:r>
          <w:rPr>
            <w:rFonts w:cs="Times New Roman"/>
            <w:sz w:val="24"/>
            <w:szCs w:val="24"/>
          </w:rPr>
          <w:fldChar w:fldCharType="separate"/>
        </w:r>
        <w:r>
          <w:rPr>
            <w:rFonts w:cs="Times New Roman"/>
            <w:sz w:val="24"/>
            <w:szCs w:val="24"/>
          </w:rPr>
          <w:t>34</w:t>
        </w:r>
        <w:r>
          <w:rPr>
            <w:rFonts w:cs="Times New Roman"/>
            <w:sz w:val="24"/>
            <w:szCs w:val="24"/>
          </w:rPr>
          <w:fldChar w:fldCharType="end"/>
        </w:r>
        <w:r>
          <w:rPr>
            <w:rFonts w:cs="Times New Roman"/>
            <w:sz w:val="24"/>
            <w:szCs w:val="24"/>
          </w:rPr>
          <w:t>—</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640"/>
      </w:pPr>
      <w:r>
        <w:separator/>
      </w:r>
    </w:p>
  </w:footnote>
  <w:footnote w:type="continuationSeparator" w:id="1">
    <w:p>
      <w:pPr>
        <w:spacing w:before="0" w:after="0"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9FD6F">
    <w:pPr>
      <w:pStyle w:val="9"/>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56101">
    <w:pPr>
      <w:pStyle w:val="9"/>
      <w:spacing w:before="120" w:after="1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6FE4">
    <w:pPr>
      <w:pStyle w:val="9"/>
      <w:spacing w:before="120" w:after="12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evenAndOddHeaders w:val="1"/>
  <w:drawingGridHorizontalSpacing w:val="160"/>
  <w:drawingGridVerticalSpacing w:val="435"/>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9BB"/>
    <w:rsid w:val="00000E73"/>
    <w:rsid w:val="000019E2"/>
    <w:rsid w:val="00001A5E"/>
    <w:rsid w:val="00002F15"/>
    <w:rsid w:val="00004E67"/>
    <w:rsid w:val="00005B74"/>
    <w:rsid w:val="0000607F"/>
    <w:rsid w:val="00006CCD"/>
    <w:rsid w:val="00006F76"/>
    <w:rsid w:val="00007786"/>
    <w:rsid w:val="00007C96"/>
    <w:rsid w:val="00007D3E"/>
    <w:rsid w:val="000100BD"/>
    <w:rsid w:val="00012543"/>
    <w:rsid w:val="00014568"/>
    <w:rsid w:val="000153F4"/>
    <w:rsid w:val="000158A8"/>
    <w:rsid w:val="0001590F"/>
    <w:rsid w:val="00015BD1"/>
    <w:rsid w:val="00015CD5"/>
    <w:rsid w:val="00016AAF"/>
    <w:rsid w:val="00016DF7"/>
    <w:rsid w:val="0002111B"/>
    <w:rsid w:val="00021399"/>
    <w:rsid w:val="00021521"/>
    <w:rsid w:val="00021E4A"/>
    <w:rsid w:val="000227AC"/>
    <w:rsid w:val="000244B6"/>
    <w:rsid w:val="000255AA"/>
    <w:rsid w:val="00025C88"/>
    <w:rsid w:val="00026A3E"/>
    <w:rsid w:val="000308A7"/>
    <w:rsid w:val="00030CE2"/>
    <w:rsid w:val="00033421"/>
    <w:rsid w:val="0003437A"/>
    <w:rsid w:val="000344AF"/>
    <w:rsid w:val="0003561F"/>
    <w:rsid w:val="00037062"/>
    <w:rsid w:val="000374AD"/>
    <w:rsid w:val="000377B1"/>
    <w:rsid w:val="00041A99"/>
    <w:rsid w:val="00042040"/>
    <w:rsid w:val="0004399E"/>
    <w:rsid w:val="00043FE4"/>
    <w:rsid w:val="00045DFC"/>
    <w:rsid w:val="0005120B"/>
    <w:rsid w:val="00051CA0"/>
    <w:rsid w:val="00053212"/>
    <w:rsid w:val="000534F8"/>
    <w:rsid w:val="00054822"/>
    <w:rsid w:val="0005484F"/>
    <w:rsid w:val="0005508D"/>
    <w:rsid w:val="000558C6"/>
    <w:rsid w:val="00055C65"/>
    <w:rsid w:val="0005610D"/>
    <w:rsid w:val="00057317"/>
    <w:rsid w:val="00057A15"/>
    <w:rsid w:val="00061456"/>
    <w:rsid w:val="0006159B"/>
    <w:rsid w:val="00061CC2"/>
    <w:rsid w:val="00062F66"/>
    <w:rsid w:val="0006480F"/>
    <w:rsid w:val="00065340"/>
    <w:rsid w:val="000658CD"/>
    <w:rsid w:val="00065A9B"/>
    <w:rsid w:val="00065EA0"/>
    <w:rsid w:val="00067285"/>
    <w:rsid w:val="00070892"/>
    <w:rsid w:val="00072742"/>
    <w:rsid w:val="00072918"/>
    <w:rsid w:val="0007559E"/>
    <w:rsid w:val="00075F67"/>
    <w:rsid w:val="00076563"/>
    <w:rsid w:val="00077A39"/>
    <w:rsid w:val="00081484"/>
    <w:rsid w:val="00081BE6"/>
    <w:rsid w:val="0008229D"/>
    <w:rsid w:val="000832CC"/>
    <w:rsid w:val="00084512"/>
    <w:rsid w:val="00084C09"/>
    <w:rsid w:val="00085AD3"/>
    <w:rsid w:val="00086926"/>
    <w:rsid w:val="00086A69"/>
    <w:rsid w:val="000874F8"/>
    <w:rsid w:val="00090F8A"/>
    <w:rsid w:val="00094B9E"/>
    <w:rsid w:val="00094C87"/>
    <w:rsid w:val="00095E36"/>
    <w:rsid w:val="000A01EA"/>
    <w:rsid w:val="000A0692"/>
    <w:rsid w:val="000A16D1"/>
    <w:rsid w:val="000A1E6B"/>
    <w:rsid w:val="000A337A"/>
    <w:rsid w:val="000A61F5"/>
    <w:rsid w:val="000A6C92"/>
    <w:rsid w:val="000A77EE"/>
    <w:rsid w:val="000A7CF0"/>
    <w:rsid w:val="000B1D2E"/>
    <w:rsid w:val="000B2469"/>
    <w:rsid w:val="000B2ED0"/>
    <w:rsid w:val="000B3FE7"/>
    <w:rsid w:val="000B4613"/>
    <w:rsid w:val="000B5200"/>
    <w:rsid w:val="000B5F06"/>
    <w:rsid w:val="000C03F7"/>
    <w:rsid w:val="000C049F"/>
    <w:rsid w:val="000C0C0C"/>
    <w:rsid w:val="000C2200"/>
    <w:rsid w:val="000C222D"/>
    <w:rsid w:val="000C3CC2"/>
    <w:rsid w:val="000C671C"/>
    <w:rsid w:val="000C7EB2"/>
    <w:rsid w:val="000D07E6"/>
    <w:rsid w:val="000D1D8A"/>
    <w:rsid w:val="000D27E5"/>
    <w:rsid w:val="000D7C46"/>
    <w:rsid w:val="000E1232"/>
    <w:rsid w:val="000E2A3C"/>
    <w:rsid w:val="000E32AB"/>
    <w:rsid w:val="000E4E63"/>
    <w:rsid w:val="000E55EF"/>
    <w:rsid w:val="000E5A23"/>
    <w:rsid w:val="000E60FD"/>
    <w:rsid w:val="000E6134"/>
    <w:rsid w:val="000F1A33"/>
    <w:rsid w:val="000F2997"/>
    <w:rsid w:val="000F512D"/>
    <w:rsid w:val="000F547C"/>
    <w:rsid w:val="000F5FE2"/>
    <w:rsid w:val="000F7E71"/>
    <w:rsid w:val="001000DD"/>
    <w:rsid w:val="001003CE"/>
    <w:rsid w:val="00100E02"/>
    <w:rsid w:val="00101B2D"/>
    <w:rsid w:val="00102BFF"/>
    <w:rsid w:val="001030AE"/>
    <w:rsid w:val="00103996"/>
    <w:rsid w:val="00105822"/>
    <w:rsid w:val="00107D63"/>
    <w:rsid w:val="001110F2"/>
    <w:rsid w:val="001128D6"/>
    <w:rsid w:val="00114006"/>
    <w:rsid w:val="00115B74"/>
    <w:rsid w:val="00123291"/>
    <w:rsid w:val="00123AD8"/>
    <w:rsid w:val="001244F1"/>
    <w:rsid w:val="00124F01"/>
    <w:rsid w:val="001275C2"/>
    <w:rsid w:val="001303D0"/>
    <w:rsid w:val="0013178D"/>
    <w:rsid w:val="00132E20"/>
    <w:rsid w:val="00133E33"/>
    <w:rsid w:val="001347FE"/>
    <w:rsid w:val="00134D52"/>
    <w:rsid w:val="00134D83"/>
    <w:rsid w:val="00134D9B"/>
    <w:rsid w:val="00137579"/>
    <w:rsid w:val="00140F52"/>
    <w:rsid w:val="00141A87"/>
    <w:rsid w:val="00143E67"/>
    <w:rsid w:val="00144F8B"/>
    <w:rsid w:val="00145026"/>
    <w:rsid w:val="00145C53"/>
    <w:rsid w:val="001470A3"/>
    <w:rsid w:val="00150429"/>
    <w:rsid w:val="001507CA"/>
    <w:rsid w:val="00150C63"/>
    <w:rsid w:val="00151098"/>
    <w:rsid w:val="0015190E"/>
    <w:rsid w:val="00151E5F"/>
    <w:rsid w:val="00153EC4"/>
    <w:rsid w:val="0015428C"/>
    <w:rsid w:val="001564B8"/>
    <w:rsid w:val="00156D2D"/>
    <w:rsid w:val="001615C5"/>
    <w:rsid w:val="001619C8"/>
    <w:rsid w:val="00161B1C"/>
    <w:rsid w:val="0016350A"/>
    <w:rsid w:val="00164518"/>
    <w:rsid w:val="00164753"/>
    <w:rsid w:val="00166753"/>
    <w:rsid w:val="00166B95"/>
    <w:rsid w:val="00170FBE"/>
    <w:rsid w:val="001713ED"/>
    <w:rsid w:val="0017219F"/>
    <w:rsid w:val="00172538"/>
    <w:rsid w:val="0017339F"/>
    <w:rsid w:val="00173980"/>
    <w:rsid w:val="00175665"/>
    <w:rsid w:val="00175C02"/>
    <w:rsid w:val="00176149"/>
    <w:rsid w:val="0018114A"/>
    <w:rsid w:val="0018196A"/>
    <w:rsid w:val="00181EE8"/>
    <w:rsid w:val="00184467"/>
    <w:rsid w:val="00186034"/>
    <w:rsid w:val="00187561"/>
    <w:rsid w:val="00187F91"/>
    <w:rsid w:val="00190BFD"/>
    <w:rsid w:val="00190DED"/>
    <w:rsid w:val="00190FD5"/>
    <w:rsid w:val="00193237"/>
    <w:rsid w:val="001938BF"/>
    <w:rsid w:val="00193F5D"/>
    <w:rsid w:val="00195046"/>
    <w:rsid w:val="00195F60"/>
    <w:rsid w:val="001967C1"/>
    <w:rsid w:val="001967F6"/>
    <w:rsid w:val="00197409"/>
    <w:rsid w:val="001A06AB"/>
    <w:rsid w:val="001A09E5"/>
    <w:rsid w:val="001A0BC0"/>
    <w:rsid w:val="001A117A"/>
    <w:rsid w:val="001A273C"/>
    <w:rsid w:val="001A377B"/>
    <w:rsid w:val="001A5486"/>
    <w:rsid w:val="001A673E"/>
    <w:rsid w:val="001A6E60"/>
    <w:rsid w:val="001A711B"/>
    <w:rsid w:val="001A768B"/>
    <w:rsid w:val="001B1E53"/>
    <w:rsid w:val="001B2DA7"/>
    <w:rsid w:val="001B33FD"/>
    <w:rsid w:val="001B3B4D"/>
    <w:rsid w:val="001B51ED"/>
    <w:rsid w:val="001B639D"/>
    <w:rsid w:val="001B6769"/>
    <w:rsid w:val="001B74DA"/>
    <w:rsid w:val="001B7CE9"/>
    <w:rsid w:val="001C0109"/>
    <w:rsid w:val="001C07FB"/>
    <w:rsid w:val="001C0BAF"/>
    <w:rsid w:val="001C0C0D"/>
    <w:rsid w:val="001C2849"/>
    <w:rsid w:val="001C33C8"/>
    <w:rsid w:val="001C3D13"/>
    <w:rsid w:val="001C480F"/>
    <w:rsid w:val="001D078D"/>
    <w:rsid w:val="001D26B7"/>
    <w:rsid w:val="001D2EBB"/>
    <w:rsid w:val="001D3479"/>
    <w:rsid w:val="001D3875"/>
    <w:rsid w:val="001D4ECD"/>
    <w:rsid w:val="001D5F91"/>
    <w:rsid w:val="001D6603"/>
    <w:rsid w:val="001D6C29"/>
    <w:rsid w:val="001D7884"/>
    <w:rsid w:val="001E08B3"/>
    <w:rsid w:val="001E123D"/>
    <w:rsid w:val="001E2393"/>
    <w:rsid w:val="001E2F87"/>
    <w:rsid w:val="001E30ED"/>
    <w:rsid w:val="001E56DB"/>
    <w:rsid w:val="001E577D"/>
    <w:rsid w:val="001E6148"/>
    <w:rsid w:val="001E719B"/>
    <w:rsid w:val="001F0407"/>
    <w:rsid w:val="001F0D50"/>
    <w:rsid w:val="001F0EF1"/>
    <w:rsid w:val="001F39BE"/>
    <w:rsid w:val="001F537B"/>
    <w:rsid w:val="001F647C"/>
    <w:rsid w:val="001F6823"/>
    <w:rsid w:val="00201992"/>
    <w:rsid w:val="002033CC"/>
    <w:rsid w:val="00204B9F"/>
    <w:rsid w:val="002054CA"/>
    <w:rsid w:val="00205F0F"/>
    <w:rsid w:val="00206688"/>
    <w:rsid w:val="00206B71"/>
    <w:rsid w:val="00206C28"/>
    <w:rsid w:val="0021040C"/>
    <w:rsid w:val="00210828"/>
    <w:rsid w:val="0021175D"/>
    <w:rsid w:val="00211E25"/>
    <w:rsid w:val="00212060"/>
    <w:rsid w:val="00213742"/>
    <w:rsid w:val="00213B16"/>
    <w:rsid w:val="00215B2B"/>
    <w:rsid w:val="00216642"/>
    <w:rsid w:val="0021789C"/>
    <w:rsid w:val="00221CEB"/>
    <w:rsid w:val="0022267B"/>
    <w:rsid w:val="00224E89"/>
    <w:rsid w:val="00225234"/>
    <w:rsid w:val="002256E1"/>
    <w:rsid w:val="00226D76"/>
    <w:rsid w:val="00227A0D"/>
    <w:rsid w:val="00227E80"/>
    <w:rsid w:val="00230E4C"/>
    <w:rsid w:val="00231B14"/>
    <w:rsid w:val="002329C6"/>
    <w:rsid w:val="00232A50"/>
    <w:rsid w:val="002333D2"/>
    <w:rsid w:val="00233639"/>
    <w:rsid w:val="00233CF7"/>
    <w:rsid w:val="00234DF5"/>
    <w:rsid w:val="0023596E"/>
    <w:rsid w:val="00235CAD"/>
    <w:rsid w:val="002360A1"/>
    <w:rsid w:val="00237220"/>
    <w:rsid w:val="0023775D"/>
    <w:rsid w:val="00240CC7"/>
    <w:rsid w:val="0024333D"/>
    <w:rsid w:val="00244B47"/>
    <w:rsid w:val="00244F29"/>
    <w:rsid w:val="002465BD"/>
    <w:rsid w:val="00247A3C"/>
    <w:rsid w:val="00250F26"/>
    <w:rsid w:val="002517AB"/>
    <w:rsid w:val="00252205"/>
    <w:rsid w:val="002533C7"/>
    <w:rsid w:val="00253494"/>
    <w:rsid w:val="002534AD"/>
    <w:rsid w:val="00255112"/>
    <w:rsid w:val="00255270"/>
    <w:rsid w:val="00256432"/>
    <w:rsid w:val="00256446"/>
    <w:rsid w:val="002608D4"/>
    <w:rsid w:val="00260A2D"/>
    <w:rsid w:val="00260B81"/>
    <w:rsid w:val="002611FB"/>
    <w:rsid w:val="002615E3"/>
    <w:rsid w:val="00262A86"/>
    <w:rsid w:val="00262FEA"/>
    <w:rsid w:val="00266744"/>
    <w:rsid w:val="00270804"/>
    <w:rsid w:val="00271840"/>
    <w:rsid w:val="002718F0"/>
    <w:rsid w:val="00273091"/>
    <w:rsid w:val="00275CC2"/>
    <w:rsid w:val="002763AB"/>
    <w:rsid w:val="0027699E"/>
    <w:rsid w:val="002777EB"/>
    <w:rsid w:val="00277BFD"/>
    <w:rsid w:val="00282A7B"/>
    <w:rsid w:val="00282AB8"/>
    <w:rsid w:val="002834C6"/>
    <w:rsid w:val="0028503A"/>
    <w:rsid w:val="00285046"/>
    <w:rsid w:val="00285683"/>
    <w:rsid w:val="00286AF9"/>
    <w:rsid w:val="00286B50"/>
    <w:rsid w:val="002909F9"/>
    <w:rsid w:val="00291459"/>
    <w:rsid w:val="0029186B"/>
    <w:rsid w:val="00292A67"/>
    <w:rsid w:val="00293A9E"/>
    <w:rsid w:val="00296012"/>
    <w:rsid w:val="00297149"/>
    <w:rsid w:val="002A1EBB"/>
    <w:rsid w:val="002A34F9"/>
    <w:rsid w:val="002A5685"/>
    <w:rsid w:val="002B0E09"/>
    <w:rsid w:val="002B2265"/>
    <w:rsid w:val="002B23F7"/>
    <w:rsid w:val="002B6011"/>
    <w:rsid w:val="002B6CF6"/>
    <w:rsid w:val="002B73F0"/>
    <w:rsid w:val="002B78DB"/>
    <w:rsid w:val="002C0551"/>
    <w:rsid w:val="002C0EA8"/>
    <w:rsid w:val="002C11D2"/>
    <w:rsid w:val="002C2467"/>
    <w:rsid w:val="002C3BA0"/>
    <w:rsid w:val="002C3BDC"/>
    <w:rsid w:val="002C7A20"/>
    <w:rsid w:val="002C7D70"/>
    <w:rsid w:val="002D11F1"/>
    <w:rsid w:val="002D250A"/>
    <w:rsid w:val="002D3016"/>
    <w:rsid w:val="002D3A18"/>
    <w:rsid w:val="002D3F86"/>
    <w:rsid w:val="002D3FDE"/>
    <w:rsid w:val="002D42A4"/>
    <w:rsid w:val="002D4456"/>
    <w:rsid w:val="002D575D"/>
    <w:rsid w:val="002E0C8C"/>
    <w:rsid w:val="002E18BC"/>
    <w:rsid w:val="002E1FDE"/>
    <w:rsid w:val="002E3985"/>
    <w:rsid w:val="002E4E62"/>
    <w:rsid w:val="002E60D0"/>
    <w:rsid w:val="002E6C0A"/>
    <w:rsid w:val="002E73BD"/>
    <w:rsid w:val="002F01F8"/>
    <w:rsid w:val="002F4465"/>
    <w:rsid w:val="002F4E6D"/>
    <w:rsid w:val="002F68D3"/>
    <w:rsid w:val="00301915"/>
    <w:rsid w:val="00301B3A"/>
    <w:rsid w:val="00304791"/>
    <w:rsid w:val="00304884"/>
    <w:rsid w:val="00310644"/>
    <w:rsid w:val="00311795"/>
    <w:rsid w:val="003119E9"/>
    <w:rsid w:val="00312ABD"/>
    <w:rsid w:val="003133A7"/>
    <w:rsid w:val="00314BFB"/>
    <w:rsid w:val="00315915"/>
    <w:rsid w:val="00315A4F"/>
    <w:rsid w:val="00315D4C"/>
    <w:rsid w:val="00315DF4"/>
    <w:rsid w:val="00315EC5"/>
    <w:rsid w:val="00317041"/>
    <w:rsid w:val="00320146"/>
    <w:rsid w:val="003206C8"/>
    <w:rsid w:val="0032075F"/>
    <w:rsid w:val="003214B7"/>
    <w:rsid w:val="0032256C"/>
    <w:rsid w:val="00322571"/>
    <w:rsid w:val="003236E9"/>
    <w:rsid w:val="00326CB4"/>
    <w:rsid w:val="0033097B"/>
    <w:rsid w:val="00330E40"/>
    <w:rsid w:val="00331D44"/>
    <w:rsid w:val="00331F39"/>
    <w:rsid w:val="003321E7"/>
    <w:rsid w:val="003327C6"/>
    <w:rsid w:val="00332FB7"/>
    <w:rsid w:val="00333BFC"/>
    <w:rsid w:val="00334053"/>
    <w:rsid w:val="00334B83"/>
    <w:rsid w:val="00335317"/>
    <w:rsid w:val="003355B7"/>
    <w:rsid w:val="003361E7"/>
    <w:rsid w:val="0033621C"/>
    <w:rsid w:val="00337B35"/>
    <w:rsid w:val="0034048C"/>
    <w:rsid w:val="00340FF1"/>
    <w:rsid w:val="00341061"/>
    <w:rsid w:val="0034140C"/>
    <w:rsid w:val="00341B20"/>
    <w:rsid w:val="00341C38"/>
    <w:rsid w:val="00342BDC"/>
    <w:rsid w:val="00342CA4"/>
    <w:rsid w:val="003431A0"/>
    <w:rsid w:val="00343900"/>
    <w:rsid w:val="00345373"/>
    <w:rsid w:val="00347576"/>
    <w:rsid w:val="0034780D"/>
    <w:rsid w:val="003511D8"/>
    <w:rsid w:val="0035215A"/>
    <w:rsid w:val="00355805"/>
    <w:rsid w:val="0035694E"/>
    <w:rsid w:val="00357053"/>
    <w:rsid w:val="00357683"/>
    <w:rsid w:val="003613BC"/>
    <w:rsid w:val="003617FD"/>
    <w:rsid w:val="003619D5"/>
    <w:rsid w:val="00361CA2"/>
    <w:rsid w:val="00362811"/>
    <w:rsid w:val="00364D24"/>
    <w:rsid w:val="0036523B"/>
    <w:rsid w:val="003653BF"/>
    <w:rsid w:val="003658BA"/>
    <w:rsid w:val="00366031"/>
    <w:rsid w:val="00366943"/>
    <w:rsid w:val="00367D5F"/>
    <w:rsid w:val="00367E61"/>
    <w:rsid w:val="003707A1"/>
    <w:rsid w:val="0037232E"/>
    <w:rsid w:val="003726CA"/>
    <w:rsid w:val="00372FB5"/>
    <w:rsid w:val="00373B0F"/>
    <w:rsid w:val="00373D7D"/>
    <w:rsid w:val="00374155"/>
    <w:rsid w:val="00374308"/>
    <w:rsid w:val="00376938"/>
    <w:rsid w:val="00377934"/>
    <w:rsid w:val="003807A6"/>
    <w:rsid w:val="003810DC"/>
    <w:rsid w:val="0038280C"/>
    <w:rsid w:val="00382F3D"/>
    <w:rsid w:val="0038373B"/>
    <w:rsid w:val="00383915"/>
    <w:rsid w:val="0038484E"/>
    <w:rsid w:val="00384D1F"/>
    <w:rsid w:val="00384E93"/>
    <w:rsid w:val="00385DAC"/>
    <w:rsid w:val="003861CD"/>
    <w:rsid w:val="00386EFC"/>
    <w:rsid w:val="003876DD"/>
    <w:rsid w:val="00387E18"/>
    <w:rsid w:val="00391816"/>
    <w:rsid w:val="00393263"/>
    <w:rsid w:val="00393B13"/>
    <w:rsid w:val="00393C24"/>
    <w:rsid w:val="003942B9"/>
    <w:rsid w:val="003946B7"/>
    <w:rsid w:val="0039547D"/>
    <w:rsid w:val="00396A94"/>
    <w:rsid w:val="003A177F"/>
    <w:rsid w:val="003A2E68"/>
    <w:rsid w:val="003A51F2"/>
    <w:rsid w:val="003A7C78"/>
    <w:rsid w:val="003A7F95"/>
    <w:rsid w:val="003B08F8"/>
    <w:rsid w:val="003B1467"/>
    <w:rsid w:val="003B2016"/>
    <w:rsid w:val="003B2F5F"/>
    <w:rsid w:val="003B359F"/>
    <w:rsid w:val="003B44E5"/>
    <w:rsid w:val="003B4BD5"/>
    <w:rsid w:val="003C0D16"/>
    <w:rsid w:val="003C10D1"/>
    <w:rsid w:val="003C1B64"/>
    <w:rsid w:val="003C38FB"/>
    <w:rsid w:val="003C3DBD"/>
    <w:rsid w:val="003C43CF"/>
    <w:rsid w:val="003C5D12"/>
    <w:rsid w:val="003C7286"/>
    <w:rsid w:val="003D000E"/>
    <w:rsid w:val="003D076A"/>
    <w:rsid w:val="003D10C8"/>
    <w:rsid w:val="003D116F"/>
    <w:rsid w:val="003D2AD5"/>
    <w:rsid w:val="003D2F91"/>
    <w:rsid w:val="003D327B"/>
    <w:rsid w:val="003D3583"/>
    <w:rsid w:val="003D3EBE"/>
    <w:rsid w:val="003D495B"/>
    <w:rsid w:val="003D4D8B"/>
    <w:rsid w:val="003D5443"/>
    <w:rsid w:val="003E08E6"/>
    <w:rsid w:val="003E1971"/>
    <w:rsid w:val="003E5167"/>
    <w:rsid w:val="003F0439"/>
    <w:rsid w:val="003F0D4A"/>
    <w:rsid w:val="003F1101"/>
    <w:rsid w:val="003F1428"/>
    <w:rsid w:val="003F1A79"/>
    <w:rsid w:val="003F21A8"/>
    <w:rsid w:val="003F41E3"/>
    <w:rsid w:val="003F4493"/>
    <w:rsid w:val="003F4CD5"/>
    <w:rsid w:val="003F5FD8"/>
    <w:rsid w:val="003F6657"/>
    <w:rsid w:val="003F74F2"/>
    <w:rsid w:val="0040023D"/>
    <w:rsid w:val="00400A4C"/>
    <w:rsid w:val="004029D3"/>
    <w:rsid w:val="00402A21"/>
    <w:rsid w:val="00404134"/>
    <w:rsid w:val="0040415A"/>
    <w:rsid w:val="004044DF"/>
    <w:rsid w:val="00404F9E"/>
    <w:rsid w:val="00405405"/>
    <w:rsid w:val="004071C9"/>
    <w:rsid w:val="0041160F"/>
    <w:rsid w:val="004116C3"/>
    <w:rsid w:val="00415198"/>
    <w:rsid w:val="0041560B"/>
    <w:rsid w:val="00416961"/>
    <w:rsid w:val="00416AC4"/>
    <w:rsid w:val="004172FB"/>
    <w:rsid w:val="00422060"/>
    <w:rsid w:val="00422602"/>
    <w:rsid w:val="00422BB9"/>
    <w:rsid w:val="00425291"/>
    <w:rsid w:val="004256DE"/>
    <w:rsid w:val="00425A25"/>
    <w:rsid w:val="004260DB"/>
    <w:rsid w:val="00427202"/>
    <w:rsid w:val="004304D4"/>
    <w:rsid w:val="00430FD3"/>
    <w:rsid w:val="00432015"/>
    <w:rsid w:val="00432A93"/>
    <w:rsid w:val="004336C8"/>
    <w:rsid w:val="004347E9"/>
    <w:rsid w:val="00436783"/>
    <w:rsid w:val="00437805"/>
    <w:rsid w:val="0043790B"/>
    <w:rsid w:val="00437F6D"/>
    <w:rsid w:val="00440164"/>
    <w:rsid w:val="00441153"/>
    <w:rsid w:val="0044375D"/>
    <w:rsid w:val="0044463D"/>
    <w:rsid w:val="00444E81"/>
    <w:rsid w:val="004457E3"/>
    <w:rsid w:val="00447895"/>
    <w:rsid w:val="0045135A"/>
    <w:rsid w:val="00453DDB"/>
    <w:rsid w:val="00454DFD"/>
    <w:rsid w:val="00454E2A"/>
    <w:rsid w:val="00455923"/>
    <w:rsid w:val="00455B53"/>
    <w:rsid w:val="00456AD3"/>
    <w:rsid w:val="0046156E"/>
    <w:rsid w:val="00463807"/>
    <w:rsid w:val="0046403B"/>
    <w:rsid w:val="0046425B"/>
    <w:rsid w:val="00464EBD"/>
    <w:rsid w:val="004667DE"/>
    <w:rsid w:val="0047095F"/>
    <w:rsid w:val="00470B92"/>
    <w:rsid w:val="004718C1"/>
    <w:rsid w:val="00475F83"/>
    <w:rsid w:val="004764BB"/>
    <w:rsid w:val="0047744F"/>
    <w:rsid w:val="00477543"/>
    <w:rsid w:val="00477E1F"/>
    <w:rsid w:val="004806FB"/>
    <w:rsid w:val="00481198"/>
    <w:rsid w:val="00483F63"/>
    <w:rsid w:val="00485E3C"/>
    <w:rsid w:val="0048607D"/>
    <w:rsid w:val="00486456"/>
    <w:rsid w:val="004876A8"/>
    <w:rsid w:val="004907EA"/>
    <w:rsid w:val="004911E2"/>
    <w:rsid w:val="00491AE5"/>
    <w:rsid w:val="00492E7F"/>
    <w:rsid w:val="004935CA"/>
    <w:rsid w:val="00494E0F"/>
    <w:rsid w:val="00494FE0"/>
    <w:rsid w:val="0049572A"/>
    <w:rsid w:val="00495846"/>
    <w:rsid w:val="004A0F1D"/>
    <w:rsid w:val="004A1397"/>
    <w:rsid w:val="004A1F28"/>
    <w:rsid w:val="004A36C9"/>
    <w:rsid w:val="004A4320"/>
    <w:rsid w:val="004A579C"/>
    <w:rsid w:val="004A610E"/>
    <w:rsid w:val="004A693B"/>
    <w:rsid w:val="004B0443"/>
    <w:rsid w:val="004B2AA5"/>
    <w:rsid w:val="004B370B"/>
    <w:rsid w:val="004B3941"/>
    <w:rsid w:val="004B63A5"/>
    <w:rsid w:val="004B7164"/>
    <w:rsid w:val="004B767A"/>
    <w:rsid w:val="004C0527"/>
    <w:rsid w:val="004C2C9D"/>
    <w:rsid w:val="004C5A2C"/>
    <w:rsid w:val="004C6223"/>
    <w:rsid w:val="004C6A14"/>
    <w:rsid w:val="004C6B4A"/>
    <w:rsid w:val="004C6D6A"/>
    <w:rsid w:val="004C79A4"/>
    <w:rsid w:val="004D515F"/>
    <w:rsid w:val="004D5D28"/>
    <w:rsid w:val="004D624A"/>
    <w:rsid w:val="004D6EE0"/>
    <w:rsid w:val="004D7670"/>
    <w:rsid w:val="004E0266"/>
    <w:rsid w:val="004E040E"/>
    <w:rsid w:val="004E10C2"/>
    <w:rsid w:val="004E172F"/>
    <w:rsid w:val="004E1E68"/>
    <w:rsid w:val="004E20F2"/>
    <w:rsid w:val="004E29D1"/>
    <w:rsid w:val="004E354C"/>
    <w:rsid w:val="004E792E"/>
    <w:rsid w:val="004F07D5"/>
    <w:rsid w:val="004F09C2"/>
    <w:rsid w:val="004F0D5C"/>
    <w:rsid w:val="004F0ED2"/>
    <w:rsid w:val="004F1A9F"/>
    <w:rsid w:val="004F228A"/>
    <w:rsid w:val="004F2352"/>
    <w:rsid w:val="004F3405"/>
    <w:rsid w:val="004F43B1"/>
    <w:rsid w:val="004F43CE"/>
    <w:rsid w:val="004F49FD"/>
    <w:rsid w:val="004F55A7"/>
    <w:rsid w:val="00501BE5"/>
    <w:rsid w:val="005026D0"/>
    <w:rsid w:val="0050282D"/>
    <w:rsid w:val="00504546"/>
    <w:rsid w:val="00504E74"/>
    <w:rsid w:val="00505FEF"/>
    <w:rsid w:val="0050671A"/>
    <w:rsid w:val="00507287"/>
    <w:rsid w:val="00507791"/>
    <w:rsid w:val="00507C76"/>
    <w:rsid w:val="0051018C"/>
    <w:rsid w:val="005108B7"/>
    <w:rsid w:val="00512860"/>
    <w:rsid w:val="00513DC0"/>
    <w:rsid w:val="00514BAA"/>
    <w:rsid w:val="00515BC6"/>
    <w:rsid w:val="005165C3"/>
    <w:rsid w:val="00516C43"/>
    <w:rsid w:val="005174DF"/>
    <w:rsid w:val="00517AD7"/>
    <w:rsid w:val="00517AF9"/>
    <w:rsid w:val="005212A8"/>
    <w:rsid w:val="005219BF"/>
    <w:rsid w:val="00524AA7"/>
    <w:rsid w:val="00525ACE"/>
    <w:rsid w:val="00525B07"/>
    <w:rsid w:val="00526077"/>
    <w:rsid w:val="0052798B"/>
    <w:rsid w:val="00530190"/>
    <w:rsid w:val="00531078"/>
    <w:rsid w:val="00531454"/>
    <w:rsid w:val="0053181B"/>
    <w:rsid w:val="00533A07"/>
    <w:rsid w:val="005350BF"/>
    <w:rsid w:val="00535445"/>
    <w:rsid w:val="005359E6"/>
    <w:rsid w:val="00537958"/>
    <w:rsid w:val="00541906"/>
    <w:rsid w:val="005429C3"/>
    <w:rsid w:val="00542BBB"/>
    <w:rsid w:val="00544926"/>
    <w:rsid w:val="005467F6"/>
    <w:rsid w:val="005476E8"/>
    <w:rsid w:val="00550E95"/>
    <w:rsid w:val="00552210"/>
    <w:rsid w:val="00552E5F"/>
    <w:rsid w:val="0055356D"/>
    <w:rsid w:val="00554F27"/>
    <w:rsid w:val="00556C09"/>
    <w:rsid w:val="00556C57"/>
    <w:rsid w:val="00556CC6"/>
    <w:rsid w:val="0055730D"/>
    <w:rsid w:val="00557A16"/>
    <w:rsid w:val="00560271"/>
    <w:rsid w:val="00561397"/>
    <w:rsid w:val="00562B4D"/>
    <w:rsid w:val="0056325B"/>
    <w:rsid w:val="00563702"/>
    <w:rsid w:val="005652EB"/>
    <w:rsid w:val="00566FDE"/>
    <w:rsid w:val="005674E1"/>
    <w:rsid w:val="00570B6C"/>
    <w:rsid w:val="00570CC6"/>
    <w:rsid w:val="00570D3C"/>
    <w:rsid w:val="005710DA"/>
    <w:rsid w:val="00571E7C"/>
    <w:rsid w:val="0057242F"/>
    <w:rsid w:val="00572765"/>
    <w:rsid w:val="00572D22"/>
    <w:rsid w:val="00573A9E"/>
    <w:rsid w:val="00573FD4"/>
    <w:rsid w:val="00574963"/>
    <w:rsid w:val="0057574E"/>
    <w:rsid w:val="005761DF"/>
    <w:rsid w:val="0058035A"/>
    <w:rsid w:val="005806B0"/>
    <w:rsid w:val="005813FB"/>
    <w:rsid w:val="0058160A"/>
    <w:rsid w:val="00582422"/>
    <w:rsid w:val="0058246B"/>
    <w:rsid w:val="00584B3F"/>
    <w:rsid w:val="00585A21"/>
    <w:rsid w:val="0058792C"/>
    <w:rsid w:val="00587D42"/>
    <w:rsid w:val="00591547"/>
    <w:rsid w:val="00594E33"/>
    <w:rsid w:val="00595D9E"/>
    <w:rsid w:val="00595E0F"/>
    <w:rsid w:val="00597045"/>
    <w:rsid w:val="00597D18"/>
    <w:rsid w:val="005A68D2"/>
    <w:rsid w:val="005A70B4"/>
    <w:rsid w:val="005A7C51"/>
    <w:rsid w:val="005B0188"/>
    <w:rsid w:val="005B3D2A"/>
    <w:rsid w:val="005B40DD"/>
    <w:rsid w:val="005B4BDA"/>
    <w:rsid w:val="005B66BD"/>
    <w:rsid w:val="005B7026"/>
    <w:rsid w:val="005B795E"/>
    <w:rsid w:val="005B7BA5"/>
    <w:rsid w:val="005C0B64"/>
    <w:rsid w:val="005C247F"/>
    <w:rsid w:val="005C2C37"/>
    <w:rsid w:val="005C356B"/>
    <w:rsid w:val="005C3922"/>
    <w:rsid w:val="005C5195"/>
    <w:rsid w:val="005C5B26"/>
    <w:rsid w:val="005C7B69"/>
    <w:rsid w:val="005D1C40"/>
    <w:rsid w:val="005D248D"/>
    <w:rsid w:val="005D38F0"/>
    <w:rsid w:val="005D5E94"/>
    <w:rsid w:val="005D73C6"/>
    <w:rsid w:val="005E1DF8"/>
    <w:rsid w:val="005E23B3"/>
    <w:rsid w:val="005E578A"/>
    <w:rsid w:val="005E5B34"/>
    <w:rsid w:val="005E5E37"/>
    <w:rsid w:val="005E5F81"/>
    <w:rsid w:val="005F06B7"/>
    <w:rsid w:val="005F178E"/>
    <w:rsid w:val="005F25BD"/>
    <w:rsid w:val="005F288C"/>
    <w:rsid w:val="005F28B8"/>
    <w:rsid w:val="005F3051"/>
    <w:rsid w:val="005F40C1"/>
    <w:rsid w:val="005F4475"/>
    <w:rsid w:val="005F4648"/>
    <w:rsid w:val="005F6429"/>
    <w:rsid w:val="005F6A92"/>
    <w:rsid w:val="00602D28"/>
    <w:rsid w:val="00602EC0"/>
    <w:rsid w:val="006031B1"/>
    <w:rsid w:val="0060424D"/>
    <w:rsid w:val="00604C5F"/>
    <w:rsid w:val="0060649A"/>
    <w:rsid w:val="0060697B"/>
    <w:rsid w:val="006070D4"/>
    <w:rsid w:val="00607291"/>
    <w:rsid w:val="00607BD3"/>
    <w:rsid w:val="0061339B"/>
    <w:rsid w:val="0061464E"/>
    <w:rsid w:val="0061636B"/>
    <w:rsid w:val="0062117E"/>
    <w:rsid w:val="00623AED"/>
    <w:rsid w:val="006253F7"/>
    <w:rsid w:val="006255F2"/>
    <w:rsid w:val="006257E7"/>
    <w:rsid w:val="00625A71"/>
    <w:rsid w:val="00631911"/>
    <w:rsid w:val="00632042"/>
    <w:rsid w:val="0063233C"/>
    <w:rsid w:val="006347E6"/>
    <w:rsid w:val="00634C1D"/>
    <w:rsid w:val="00636404"/>
    <w:rsid w:val="00636DA7"/>
    <w:rsid w:val="00637F71"/>
    <w:rsid w:val="0064071A"/>
    <w:rsid w:val="00641CFE"/>
    <w:rsid w:val="00643573"/>
    <w:rsid w:val="00643DE4"/>
    <w:rsid w:val="0064554C"/>
    <w:rsid w:val="00645949"/>
    <w:rsid w:val="0065111C"/>
    <w:rsid w:val="00651207"/>
    <w:rsid w:val="00651AA5"/>
    <w:rsid w:val="00653049"/>
    <w:rsid w:val="00653101"/>
    <w:rsid w:val="00654F53"/>
    <w:rsid w:val="0065627B"/>
    <w:rsid w:val="006568C5"/>
    <w:rsid w:val="00656EF6"/>
    <w:rsid w:val="006579AA"/>
    <w:rsid w:val="00660FE4"/>
    <w:rsid w:val="0066246B"/>
    <w:rsid w:val="00663FCB"/>
    <w:rsid w:val="006647A4"/>
    <w:rsid w:val="00670046"/>
    <w:rsid w:val="0067098C"/>
    <w:rsid w:val="00671B29"/>
    <w:rsid w:val="00673212"/>
    <w:rsid w:val="00673E05"/>
    <w:rsid w:val="00673E64"/>
    <w:rsid w:val="00673F88"/>
    <w:rsid w:val="0067547E"/>
    <w:rsid w:val="00675DA3"/>
    <w:rsid w:val="0068461C"/>
    <w:rsid w:val="00684EA6"/>
    <w:rsid w:val="00684F72"/>
    <w:rsid w:val="0068567C"/>
    <w:rsid w:val="0068625B"/>
    <w:rsid w:val="006869EA"/>
    <w:rsid w:val="00686FD5"/>
    <w:rsid w:val="006872DE"/>
    <w:rsid w:val="006874A9"/>
    <w:rsid w:val="00687880"/>
    <w:rsid w:val="006926A9"/>
    <w:rsid w:val="00692A11"/>
    <w:rsid w:val="00692E40"/>
    <w:rsid w:val="00692F4D"/>
    <w:rsid w:val="00693D03"/>
    <w:rsid w:val="00693F44"/>
    <w:rsid w:val="00695EF1"/>
    <w:rsid w:val="00696491"/>
    <w:rsid w:val="00696973"/>
    <w:rsid w:val="00696A18"/>
    <w:rsid w:val="00697A47"/>
    <w:rsid w:val="006A0A4E"/>
    <w:rsid w:val="006A1505"/>
    <w:rsid w:val="006A26C9"/>
    <w:rsid w:val="006A3363"/>
    <w:rsid w:val="006A4915"/>
    <w:rsid w:val="006A4B31"/>
    <w:rsid w:val="006A5E71"/>
    <w:rsid w:val="006A674C"/>
    <w:rsid w:val="006A7BAC"/>
    <w:rsid w:val="006B1286"/>
    <w:rsid w:val="006B174F"/>
    <w:rsid w:val="006B177F"/>
    <w:rsid w:val="006B34F2"/>
    <w:rsid w:val="006B5660"/>
    <w:rsid w:val="006B722C"/>
    <w:rsid w:val="006C2EF9"/>
    <w:rsid w:val="006C3E23"/>
    <w:rsid w:val="006C3E5D"/>
    <w:rsid w:val="006C5433"/>
    <w:rsid w:val="006C7209"/>
    <w:rsid w:val="006D0857"/>
    <w:rsid w:val="006D1D2C"/>
    <w:rsid w:val="006D2629"/>
    <w:rsid w:val="006D4674"/>
    <w:rsid w:val="006D5848"/>
    <w:rsid w:val="006D5E42"/>
    <w:rsid w:val="006D6420"/>
    <w:rsid w:val="006D7A48"/>
    <w:rsid w:val="006E0429"/>
    <w:rsid w:val="006E05E5"/>
    <w:rsid w:val="006E0A93"/>
    <w:rsid w:val="006E211C"/>
    <w:rsid w:val="006E2672"/>
    <w:rsid w:val="006E305F"/>
    <w:rsid w:val="006E363F"/>
    <w:rsid w:val="006E3FE8"/>
    <w:rsid w:val="006E5458"/>
    <w:rsid w:val="006E5BDE"/>
    <w:rsid w:val="006E6769"/>
    <w:rsid w:val="006E75C2"/>
    <w:rsid w:val="006F055C"/>
    <w:rsid w:val="006F0B34"/>
    <w:rsid w:val="006F1EA2"/>
    <w:rsid w:val="006F3F07"/>
    <w:rsid w:val="006F63E1"/>
    <w:rsid w:val="006F6832"/>
    <w:rsid w:val="006F79AA"/>
    <w:rsid w:val="00700655"/>
    <w:rsid w:val="007014A6"/>
    <w:rsid w:val="00701ECD"/>
    <w:rsid w:val="0070227F"/>
    <w:rsid w:val="007043F7"/>
    <w:rsid w:val="007052A2"/>
    <w:rsid w:val="007075FD"/>
    <w:rsid w:val="007107EA"/>
    <w:rsid w:val="00710852"/>
    <w:rsid w:val="0071112E"/>
    <w:rsid w:val="007114AB"/>
    <w:rsid w:val="007131DA"/>
    <w:rsid w:val="007136E1"/>
    <w:rsid w:val="00716262"/>
    <w:rsid w:val="007175A7"/>
    <w:rsid w:val="00721192"/>
    <w:rsid w:val="00721CA2"/>
    <w:rsid w:val="0072248B"/>
    <w:rsid w:val="00722AED"/>
    <w:rsid w:val="00723BB2"/>
    <w:rsid w:val="00724294"/>
    <w:rsid w:val="007244F0"/>
    <w:rsid w:val="00724B20"/>
    <w:rsid w:val="007259AA"/>
    <w:rsid w:val="00726659"/>
    <w:rsid w:val="0072721A"/>
    <w:rsid w:val="0073145B"/>
    <w:rsid w:val="00731FC2"/>
    <w:rsid w:val="00732E53"/>
    <w:rsid w:val="0073357D"/>
    <w:rsid w:val="00734EC6"/>
    <w:rsid w:val="007362B4"/>
    <w:rsid w:val="007365AB"/>
    <w:rsid w:val="00737822"/>
    <w:rsid w:val="00741956"/>
    <w:rsid w:val="00741FEE"/>
    <w:rsid w:val="007438DA"/>
    <w:rsid w:val="007447D7"/>
    <w:rsid w:val="00746913"/>
    <w:rsid w:val="00746B5C"/>
    <w:rsid w:val="00747D30"/>
    <w:rsid w:val="00747E26"/>
    <w:rsid w:val="00750078"/>
    <w:rsid w:val="007505C5"/>
    <w:rsid w:val="007516EF"/>
    <w:rsid w:val="00752D3E"/>
    <w:rsid w:val="0075340E"/>
    <w:rsid w:val="00754C2D"/>
    <w:rsid w:val="00754DE3"/>
    <w:rsid w:val="00755C91"/>
    <w:rsid w:val="00756489"/>
    <w:rsid w:val="00760778"/>
    <w:rsid w:val="0076124F"/>
    <w:rsid w:val="00761D31"/>
    <w:rsid w:val="00762E2D"/>
    <w:rsid w:val="007637D0"/>
    <w:rsid w:val="00763DA1"/>
    <w:rsid w:val="0076428E"/>
    <w:rsid w:val="007644B9"/>
    <w:rsid w:val="00766A63"/>
    <w:rsid w:val="00766E6F"/>
    <w:rsid w:val="00770C8D"/>
    <w:rsid w:val="0077295D"/>
    <w:rsid w:val="00773141"/>
    <w:rsid w:val="0077459C"/>
    <w:rsid w:val="0077541B"/>
    <w:rsid w:val="00775B17"/>
    <w:rsid w:val="00775D78"/>
    <w:rsid w:val="00776904"/>
    <w:rsid w:val="00776DE7"/>
    <w:rsid w:val="00780340"/>
    <w:rsid w:val="0078119F"/>
    <w:rsid w:val="0078179C"/>
    <w:rsid w:val="0078445A"/>
    <w:rsid w:val="007854A8"/>
    <w:rsid w:val="00785790"/>
    <w:rsid w:val="0078664B"/>
    <w:rsid w:val="00787D63"/>
    <w:rsid w:val="007910A9"/>
    <w:rsid w:val="007912F7"/>
    <w:rsid w:val="0079392D"/>
    <w:rsid w:val="00794D03"/>
    <w:rsid w:val="007954AD"/>
    <w:rsid w:val="00795A5B"/>
    <w:rsid w:val="00795B91"/>
    <w:rsid w:val="00796978"/>
    <w:rsid w:val="00797E9E"/>
    <w:rsid w:val="007A07DF"/>
    <w:rsid w:val="007A35B3"/>
    <w:rsid w:val="007A3D8C"/>
    <w:rsid w:val="007A4E44"/>
    <w:rsid w:val="007A50B2"/>
    <w:rsid w:val="007A52E9"/>
    <w:rsid w:val="007A5740"/>
    <w:rsid w:val="007A59FC"/>
    <w:rsid w:val="007A617A"/>
    <w:rsid w:val="007A702E"/>
    <w:rsid w:val="007A766A"/>
    <w:rsid w:val="007B08C2"/>
    <w:rsid w:val="007B0A6C"/>
    <w:rsid w:val="007B12C9"/>
    <w:rsid w:val="007B3CA0"/>
    <w:rsid w:val="007B3E5A"/>
    <w:rsid w:val="007B45D5"/>
    <w:rsid w:val="007B58FF"/>
    <w:rsid w:val="007B6B08"/>
    <w:rsid w:val="007B7505"/>
    <w:rsid w:val="007C0E33"/>
    <w:rsid w:val="007C19C9"/>
    <w:rsid w:val="007C208F"/>
    <w:rsid w:val="007C2B57"/>
    <w:rsid w:val="007C2DB1"/>
    <w:rsid w:val="007C44E1"/>
    <w:rsid w:val="007C4D89"/>
    <w:rsid w:val="007C6862"/>
    <w:rsid w:val="007C68F4"/>
    <w:rsid w:val="007C6ABE"/>
    <w:rsid w:val="007C6E79"/>
    <w:rsid w:val="007D06CF"/>
    <w:rsid w:val="007D0D0B"/>
    <w:rsid w:val="007D1974"/>
    <w:rsid w:val="007D2024"/>
    <w:rsid w:val="007D2098"/>
    <w:rsid w:val="007D3439"/>
    <w:rsid w:val="007D3E5F"/>
    <w:rsid w:val="007D4FB1"/>
    <w:rsid w:val="007D582E"/>
    <w:rsid w:val="007D58FB"/>
    <w:rsid w:val="007D5A35"/>
    <w:rsid w:val="007D644A"/>
    <w:rsid w:val="007D6CEA"/>
    <w:rsid w:val="007E0BA5"/>
    <w:rsid w:val="007E11AD"/>
    <w:rsid w:val="007E1624"/>
    <w:rsid w:val="007E2B06"/>
    <w:rsid w:val="007E4CE1"/>
    <w:rsid w:val="007E678A"/>
    <w:rsid w:val="007E7E13"/>
    <w:rsid w:val="007F3902"/>
    <w:rsid w:val="007F4E51"/>
    <w:rsid w:val="007F5F74"/>
    <w:rsid w:val="007F727C"/>
    <w:rsid w:val="00800156"/>
    <w:rsid w:val="00800B43"/>
    <w:rsid w:val="00802144"/>
    <w:rsid w:val="008024A2"/>
    <w:rsid w:val="00803A04"/>
    <w:rsid w:val="00803AFC"/>
    <w:rsid w:val="0080656B"/>
    <w:rsid w:val="00806782"/>
    <w:rsid w:val="00810A71"/>
    <w:rsid w:val="00812C0F"/>
    <w:rsid w:val="00812CA3"/>
    <w:rsid w:val="00813581"/>
    <w:rsid w:val="008135DC"/>
    <w:rsid w:val="00814DBE"/>
    <w:rsid w:val="0081685C"/>
    <w:rsid w:val="0082284E"/>
    <w:rsid w:val="00824018"/>
    <w:rsid w:val="00825972"/>
    <w:rsid w:val="00825C19"/>
    <w:rsid w:val="0082657F"/>
    <w:rsid w:val="00827716"/>
    <w:rsid w:val="00827A34"/>
    <w:rsid w:val="00827F6F"/>
    <w:rsid w:val="00830504"/>
    <w:rsid w:val="0083100B"/>
    <w:rsid w:val="0083225D"/>
    <w:rsid w:val="00832A3F"/>
    <w:rsid w:val="008331C4"/>
    <w:rsid w:val="008332CC"/>
    <w:rsid w:val="00833393"/>
    <w:rsid w:val="00833596"/>
    <w:rsid w:val="008336A3"/>
    <w:rsid w:val="0083377A"/>
    <w:rsid w:val="00833FF8"/>
    <w:rsid w:val="008345C3"/>
    <w:rsid w:val="0083727E"/>
    <w:rsid w:val="00841772"/>
    <w:rsid w:val="00841E38"/>
    <w:rsid w:val="0084213F"/>
    <w:rsid w:val="008442AD"/>
    <w:rsid w:val="00845B37"/>
    <w:rsid w:val="00845CA3"/>
    <w:rsid w:val="00846614"/>
    <w:rsid w:val="00850116"/>
    <w:rsid w:val="00850A5C"/>
    <w:rsid w:val="008523EE"/>
    <w:rsid w:val="00852577"/>
    <w:rsid w:val="00852D7C"/>
    <w:rsid w:val="0085314A"/>
    <w:rsid w:val="008537F5"/>
    <w:rsid w:val="0085468B"/>
    <w:rsid w:val="008568FB"/>
    <w:rsid w:val="00856E85"/>
    <w:rsid w:val="008578C0"/>
    <w:rsid w:val="00860F14"/>
    <w:rsid w:val="00861F96"/>
    <w:rsid w:val="008622B2"/>
    <w:rsid w:val="008636E1"/>
    <w:rsid w:val="00864479"/>
    <w:rsid w:val="00866B81"/>
    <w:rsid w:val="008670A8"/>
    <w:rsid w:val="00867709"/>
    <w:rsid w:val="008703D6"/>
    <w:rsid w:val="00870583"/>
    <w:rsid w:val="008717F3"/>
    <w:rsid w:val="00873820"/>
    <w:rsid w:val="00873944"/>
    <w:rsid w:val="00874161"/>
    <w:rsid w:val="008751E2"/>
    <w:rsid w:val="00876324"/>
    <w:rsid w:val="00877079"/>
    <w:rsid w:val="00877686"/>
    <w:rsid w:val="00877E74"/>
    <w:rsid w:val="008805D3"/>
    <w:rsid w:val="00880E6A"/>
    <w:rsid w:val="00880F50"/>
    <w:rsid w:val="00881D8A"/>
    <w:rsid w:val="008821AB"/>
    <w:rsid w:val="00884ABA"/>
    <w:rsid w:val="008866AD"/>
    <w:rsid w:val="008866CB"/>
    <w:rsid w:val="00886F4F"/>
    <w:rsid w:val="00891166"/>
    <w:rsid w:val="008918D1"/>
    <w:rsid w:val="00892AF0"/>
    <w:rsid w:val="00893670"/>
    <w:rsid w:val="00894425"/>
    <w:rsid w:val="0089455C"/>
    <w:rsid w:val="00894AEB"/>
    <w:rsid w:val="0089511E"/>
    <w:rsid w:val="00896247"/>
    <w:rsid w:val="008967A2"/>
    <w:rsid w:val="0089681B"/>
    <w:rsid w:val="00896E25"/>
    <w:rsid w:val="008A050C"/>
    <w:rsid w:val="008A0B41"/>
    <w:rsid w:val="008A19E1"/>
    <w:rsid w:val="008A34F2"/>
    <w:rsid w:val="008A3CA8"/>
    <w:rsid w:val="008A61AD"/>
    <w:rsid w:val="008A7BEE"/>
    <w:rsid w:val="008B1023"/>
    <w:rsid w:val="008B17C5"/>
    <w:rsid w:val="008B193B"/>
    <w:rsid w:val="008B19EC"/>
    <w:rsid w:val="008B1E8B"/>
    <w:rsid w:val="008B3C7A"/>
    <w:rsid w:val="008B433D"/>
    <w:rsid w:val="008B60A8"/>
    <w:rsid w:val="008B7326"/>
    <w:rsid w:val="008B77CE"/>
    <w:rsid w:val="008B7D8E"/>
    <w:rsid w:val="008C0F38"/>
    <w:rsid w:val="008C1B54"/>
    <w:rsid w:val="008C2445"/>
    <w:rsid w:val="008C4311"/>
    <w:rsid w:val="008D16C8"/>
    <w:rsid w:val="008D19E3"/>
    <w:rsid w:val="008D2156"/>
    <w:rsid w:val="008D2238"/>
    <w:rsid w:val="008D265F"/>
    <w:rsid w:val="008D45F4"/>
    <w:rsid w:val="008D58C9"/>
    <w:rsid w:val="008E1A1E"/>
    <w:rsid w:val="008E2E63"/>
    <w:rsid w:val="008E3A48"/>
    <w:rsid w:val="008E5FC9"/>
    <w:rsid w:val="008E7CD0"/>
    <w:rsid w:val="008F0567"/>
    <w:rsid w:val="008F0583"/>
    <w:rsid w:val="008F0DDE"/>
    <w:rsid w:val="008F24F6"/>
    <w:rsid w:val="008F31E0"/>
    <w:rsid w:val="008F3DA5"/>
    <w:rsid w:val="008F5B96"/>
    <w:rsid w:val="008F5C65"/>
    <w:rsid w:val="008F7753"/>
    <w:rsid w:val="00900EAD"/>
    <w:rsid w:val="009020E5"/>
    <w:rsid w:val="00902476"/>
    <w:rsid w:val="00903282"/>
    <w:rsid w:val="00903372"/>
    <w:rsid w:val="009036F5"/>
    <w:rsid w:val="00903EF9"/>
    <w:rsid w:val="00903F01"/>
    <w:rsid w:val="00904405"/>
    <w:rsid w:val="00904660"/>
    <w:rsid w:val="009058B2"/>
    <w:rsid w:val="00905E4A"/>
    <w:rsid w:val="00907848"/>
    <w:rsid w:val="00907AD1"/>
    <w:rsid w:val="00907EFD"/>
    <w:rsid w:val="009104AD"/>
    <w:rsid w:val="00912779"/>
    <w:rsid w:val="009127E1"/>
    <w:rsid w:val="00913D1E"/>
    <w:rsid w:val="00915753"/>
    <w:rsid w:val="00916964"/>
    <w:rsid w:val="00916992"/>
    <w:rsid w:val="009171AC"/>
    <w:rsid w:val="00917812"/>
    <w:rsid w:val="00920DF6"/>
    <w:rsid w:val="00921006"/>
    <w:rsid w:val="00921B0B"/>
    <w:rsid w:val="0092247C"/>
    <w:rsid w:val="00922876"/>
    <w:rsid w:val="00922C06"/>
    <w:rsid w:val="00923CBA"/>
    <w:rsid w:val="00925735"/>
    <w:rsid w:val="0092611E"/>
    <w:rsid w:val="009265A2"/>
    <w:rsid w:val="009276D2"/>
    <w:rsid w:val="00930272"/>
    <w:rsid w:val="009304C6"/>
    <w:rsid w:val="00931B51"/>
    <w:rsid w:val="00931DD9"/>
    <w:rsid w:val="0093229F"/>
    <w:rsid w:val="00933F3A"/>
    <w:rsid w:val="0093443F"/>
    <w:rsid w:val="00935E08"/>
    <w:rsid w:val="009370E7"/>
    <w:rsid w:val="009374E3"/>
    <w:rsid w:val="009407E7"/>
    <w:rsid w:val="00941193"/>
    <w:rsid w:val="00941AFF"/>
    <w:rsid w:val="00941D3B"/>
    <w:rsid w:val="00942774"/>
    <w:rsid w:val="00942F10"/>
    <w:rsid w:val="0094314C"/>
    <w:rsid w:val="00946FA0"/>
    <w:rsid w:val="009475B4"/>
    <w:rsid w:val="00950B10"/>
    <w:rsid w:val="00950F16"/>
    <w:rsid w:val="0095290D"/>
    <w:rsid w:val="00952FF7"/>
    <w:rsid w:val="009533D5"/>
    <w:rsid w:val="0095422C"/>
    <w:rsid w:val="009544CE"/>
    <w:rsid w:val="009553D1"/>
    <w:rsid w:val="00955FED"/>
    <w:rsid w:val="009564A6"/>
    <w:rsid w:val="00956BFC"/>
    <w:rsid w:val="0096022D"/>
    <w:rsid w:val="0096281C"/>
    <w:rsid w:val="00962A6E"/>
    <w:rsid w:val="00962D99"/>
    <w:rsid w:val="009643E4"/>
    <w:rsid w:val="00964C67"/>
    <w:rsid w:val="00965EBF"/>
    <w:rsid w:val="00965F88"/>
    <w:rsid w:val="0096719D"/>
    <w:rsid w:val="0096750C"/>
    <w:rsid w:val="00971939"/>
    <w:rsid w:val="0097268E"/>
    <w:rsid w:val="009731CC"/>
    <w:rsid w:val="00973289"/>
    <w:rsid w:val="0097345B"/>
    <w:rsid w:val="00973BDB"/>
    <w:rsid w:val="00974CE7"/>
    <w:rsid w:val="009774D2"/>
    <w:rsid w:val="009803F4"/>
    <w:rsid w:val="0098075E"/>
    <w:rsid w:val="00980EEC"/>
    <w:rsid w:val="00980F3C"/>
    <w:rsid w:val="00981361"/>
    <w:rsid w:val="0098157A"/>
    <w:rsid w:val="00982E53"/>
    <w:rsid w:val="009845F0"/>
    <w:rsid w:val="0098489C"/>
    <w:rsid w:val="00985829"/>
    <w:rsid w:val="00985D1C"/>
    <w:rsid w:val="0098632B"/>
    <w:rsid w:val="009877A2"/>
    <w:rsid w:val="00991639"/>
    <w:rsid w:val="00992A8B"/>
    <w:rsid w:val="00992FC8"/>
    <w:rsid w:val="0099416F"/>
    <w:rsid w:val="00995253"/>
    <w:rsid w:val="00995A11"/>
    <w:rsid w:val="00997CFF"/>
    <w:rsid w:val="009A0941"/>
    <w:rsid w:val="009A0BA4"/>
    <w:rsid w:val="009A12EA"/>
    <w:rsid w:val="009A2F84"/>
    <w:rsid w:val="009A3B47"/>
    <w:rsid w:val="009A4C1C"/>
    <w:rsid w:val="009A4F6F"/>
    <w:rsid w:val="009A6A46"/>
    <w:rsid w:val="009A6C54"/>
    <w:rsid w:val="009A71F7"/>
    <w:rsid w:val="009B0F14"/>
    <w:rsid w:val="009B1BDD"/>
    <w:rsid w:val="009B1BF0"/>
    <w:rsid w:val="009B1CB9"/>
    <w:rsid w:val="009B2C7E"/>
    <w:rsid w:val="009B2E08"/>
    <w:rsid w:val="009B5F76"/>
    <w:rsid w:val="009B67C2"/>
    <w:rsid w:val="009B7317"/>
    <w:rsid w:val="009B75A2"/>
    <w:rsid w:val="009C0D8D"/>
    <w:rsid w:val="009C28CF"/>
    <w:rsid w:val="009C4563"/>
    <w:rsid w:val="009C5C59"/>
    <w:rsid w:val="009C6989"/>
    <w:rsid w:val="009C6F5F"/>
    <w:rsid w:val="009C7523"/>
    <w:rsid w:val="009D044B"/>
    <w:rsid w:val="009D5C15"/>
    <w:rsid w:val="009D626E"/>
    <w:rsid w:val="009D62BE"/>
    <w:rsid w:val="009D6EC8"/>
    <w:rsid w:val="009D6EF4"/>
    <w:rsid w:val="009D7789"/>
    <w:rsid w:val="009E0189"/>
    <w:rsid w:val="009E142E"/>
    <w:rsid w:val="009E15B6"/>
    <w:rsid w:val="009E15CB"/>
    <w:rsid w:val="009E1B05"/>
    <w:rsid w:val="009E1EA0"/>
    <w:rsid w:val="009E258E"/>
    <w:rsid w:val="009E4B5D"/>
    <w:rsid w:val="009E648B"/>
    <w:rsid w:val="009E6A1A"/>
    <w:rsid w:val="009E73A8"/>
    <w:rsid w:val="009F289D"/>
    <w:rsid w:val="009F2D80"/>
    <w:rsid w:val="009F471D"/>
    <w:rsid w:val="009F7161"/>
    <w:rsid w:val="009F7308"/>
    <w:rsid w:val="009F7625"/>
    <w:rsid w:val="00A02184"/>
    <w:rsid w:val="00A021D9"/>
    <w:rsid w:val="00A02EDD"/>
    <w:rsid w:val="00A035EF"/>
    <w:rsid w:val="00A03EB3"/>
    <w:rsid w:val="00A042BE"/>
    <w:rsid w:val="00A075E1"/>
    <w:rsid w:val="00A106E9"/>
    <w:rsid w:val="00A136C3"/>
    <w:rsid w:val="00A139F9"/>
    <w:rsid w:val="00A14EFB"/>
    <w:rsid w:val="00A204F2"/>
    <w:rsid w:val="00A20A8C"/>
    <w:rsid w:val="00A21C49"/>
    <w:rsid w:val="00A2214C"/>
    <w:rsid w:val="00A226E1"/>
    <w:rsid w:val="00A22EF7"/>
    <w:rsid w:val="00A24C4F"/>
    <w:rsid w:val="00A25329"/>
    <w:rsid w:val="00A25784"/>
    <w:rsid w:val="00A260E2"/>
    <w:rsid w:val="00A263CE"/>
    <w:rsid w:val="00A26596"/>
    <w:rsid w:val="00A269C4"/>
    <w:rsid w:val="00A30523"/>
    <w:rsid w:val="00A30D4C"/>
    <w:rsid w:val="00A30DCC"/>
    <w:rsid w:val="00A3183D"/>
    <w:rsid w:val="00A32270"/>
    <w:rsid w:val="00A324E9"/>
    <w:rsid w:val="00A327BF"/>
    <w:rsid w:val="00A32CF3"/>
    <w:rsid w:val="00A333A4"/>
    <w:rsid w:val="00A34EE8"/>
    <w:rsid w:val="00A36538"/>
    <w:rsid w:val="00A371D1"/>
    <w:rsid w:val="00A37949"/>
    <w:rsid w:val="00A40456"/>
    <w:rsid w:val="00A41214"/>
    <w:rsid w:val="00A417A4"/>
    <w:rsid w:val="00A43666"/>
    <w:rsid w:val="00A437C7"/>
    <w:rsid w:val="00A449AF"/>
    <w:rsid w:val="00A46817"/>
    <w:rsid w:val="00A46997"/>
    <w:rsid w:val="00A46A9B"/>
    <w:rsid w:val="00A50B7F"/>
    <w:rsid w:val="00A540E8"/>
    <w:rsid w:val="00A55107"/>
    <w:rsid w:val="00A55B0B"/>
    <w:rsid w:val="00A55CF2"/>
    <w:rsid w:val="00A56352"/>
    <w:rsid w:val="00A57870"/>
    <w:rsid w:val="00A57E02"/>
    <w:rsid w:val="00A61B84"/>
    <w:rsid w:val="00A61E16"/>
    <w:rsid w:val="00A621C4"/>
    <w:rsid w:val="00A6275E"/>
    <w:rsid w:val="00A635EC"/>
    <w:rsid w:val="00A63A80"/>
    <w:rsid w:val="00A64A39"/>
    <w:rsid w:val="00A66AEC"/>
    <w:rsid w:val="00A67924"/>
    <w:rsid w:val="00A67A96"/>
    <w:rsid w:val="00A7023D"/>
    <w:rsid w:val="00A7097A"/>
    <w:rsid w:val="00A7161E"/>
    <w:rsid w:val="00A71E4C"/>
    <w:rsid w:val="00A72485"/>
    <w:rsid w:val="00A73753"/>
    <w:rsid w:val="00A74BFF"/>
    <w:rsid w:val="00A75604"/>
    <w:rsid w:val="00A8037E"/>
    <w:rsid w:val="00A80446"/>
    <w:rsid w:val="00A80E77"/>
    <w:rsid w:val="00A824D0"/>
    <w:rsid w:val="00A83064"/>
    <w:rsid w:val="00A8369B"/>
    <w:rsid w:val="00A85A21"/>
    <w:rsid w:val="00A85A86"/>
    <w:rsid w:val="00A91169"/>
    <w:rsid w:val="00A92E26"/>
    <w:rsid w:val="00A93D40"/>
    <w:rsid w:val="00A944C1"/>
    <w:rsid w:val="00A95AB6"/>
    <w:rsid w:val="00A95AD2"/>
    <w:rsid w:val="00A97709"/>
    <w:rsid w:val="00A97E8A"/>
    <w:rsid w:val="00AA5318"/>
    <w:rsid w:val="00AA797B"/>
    <w:rsid w:val="00AB0653"/>
    <w:rsid w:val="00AB096F"/>
    <w:rsid w:val="00AB50FA"/>
    <w:rsid w:val="00AB5DE9"/>
    <w:rsid w:val="00AB62A8"/>
    <w:rsid w:val="00AB69BD"/>
    <w:rsid w:val="00AB6B26"/>
    <w:rsid w:val="00AC05AC"/>
    <w:rsid w:val="00AC2D3A"/>
    <w:rsid w:val="00AC628A"/>
    <w:rsid w:val="00AC6CA5"/>
    <w:rsid w:val="00AC7CC6"/>
    <w:rsid w:val="00AD1AF1"/>
    <w:rsid w:val="00AD2FCD"/>
    <w:rsid w:val="00AD37FA"/>
    <w:rsid w:val="00AD38F5"/>
    <w:rsid w:val="00AD5649"/>
    <w:rsid w:val="00AD56EC"/>
    <w:rsid w:val="00AD5A70"/>
    <w:rsid w:val="00AD7168"/>
    <w:rsid w:val="00AD72F5"/>
    <w:rsid w:val="00AD74D0"/>
    <w:rsid w:val="00AE0457"/>
    <w:rsid w:val="00AE1919"/>
    <w:rsid w:val="00AE1A63"/>
    <w:rsid w:val="00AE1B26"/>
    <w:rsid w:val="00AE21E5"/>
    <w:rsid w:val="00AE2E17"/>
    <w:rsid w:val="00AE3BA6"/>
    <w:rsid w:val="00AF066B"/>
    <w:rsid w:val="00AF07FE"/>
    <w:rsid w:val="00AF2A4E"/>
    <w:rsid w:val="00AF2C1C"/>
    <w:rsid w:val="00AF38C4"/>
    <w:rsid w:val="00AF3AB8"/>
    <w:rsid w:val="00AF3E6A"/>
    <w:rsid w:val="00AF4087"/>
    <w:rsid w:val="00AF4186"/>
    <w:rsid w:val="00AF54BC"/>
    <w:rsid w:val="00AF5648"/>
    <w:rsid w:val="00AF6E8F"/>
    <w:rsid w:val="00B00EC1"/>
    <w:rsid w:val="00B010AF"/>
    <w:rsid w:val="00B0433A"/>
    <w:rsid w:val="00B0458D"/>
    <w:rsid w:val="00B04839"/>
    <w:rsid w:val="00B05605"/>
    <w:rsid w:val="00B067D2"/>
    <w:rsid w:val="00B1231B"/>
    <w:rsid w:val="00B13048"/>
    <w:rsid w:val="00B14AB5"/>
    <w:rsid w:val="00B14B63"/>
    <w:rsid w:val="00B15B99"/>
    <w:rsid w:val="00B16986"/>
    <w:rsid w:val="00B16A54"/>
    <w:rsid w:val="00B17779"/>
    <w:rsid w:val="00B2057A"/>
    <w:rsid w:val="00B21241"/>
    <w:rsid w:val="00B21590"/>
    <w:rsid w:val="00B217D3"/>
    <w:rsid w:val="00B2221F"/>
    <w:rsid w:val="00B232D3"/>
    <w:rsid w:val="00B23D53"/>
    <w:rsid w:val="00B24BC6"/>
    <w:rsid w:val="00B251F4"/>
    <w:rsid w:val="00B27417"/>
    <w:rsid w:val="00B3071F"/>
    <w:rsid w:val="00B31907"/>
    <w:rsid w:val="00B3427D"/>
    <w:rsid w:val="00B35EF0"/>
    <w:rsid w:val="00B370AF"/>
    <w:rsid w:val="00B40F9C"/>
    <w:rsid w:val="00B42AF2"/>
    <w:rsid w:val="00B42F89"/>
    <w:rsid w:val="00B445D7"/>
    <w:rsid w:val="00B4470E"/>
    <w:rsid w:val="00B448C1"/>
    <w:rsid w:val="00B454A1"/>
    <w:rsid w:val="00B47620"/>
    <w:rsid w:val="00B500DD"/>
    <w:rsid w:val="00B50BB9"/>
    <w:rsid w:val="00B50D96"/>
    <w:rsid w:val="00B53C89"/>
    <w:rsid w:val="00B55257"/>
    <w:rsid w:val="00B566A3"/>
    <w:rsid w:val="00B60577"/>
    <w:rsid w:val="00B6071D"/>
    <w:rsid w:val="00B62F9F"/>
    <w:rsid w:val="00B63511"/>
    <w:rsid w:val="00B63D20"/>
    <w:rsid w:val="00B64104"/>
    <w:rsid w:val="00B650BD"/>
    <w:rsid w:val="00B661B8"/>
    <w:rsid w:val="00B67B3B"/>
    <w:rsid w:val="00B70F10"/>
    <w:rsid w:val="00B754E0"/>
    <w:rsid w:val="00B77F19"/>
    <w:rsid w:val="00B80639"/>
    <w:rsid w:val="00B81568"/>
    <w:rsid w:val="00B827EE"/>
    <w:rsid w:val="00B83214"/>
    <w:rsid w:val="00B83F4E"/>
    <w:rsid w:val="00B84C3B"/>
    <w:rsid w:val="00B85F2C"/>
    <w:rsid w:val="00B860C9"/>
    <w:rsid w:val="00B87108"/>
    <w:rsid w:val="00B87F2E"/>
    <w:rsid w:val="00B90296"/>
    <w:rsid w:val="00B90878"/>
    <w:rsid w:val="00B90A69"/>
    <w:rsid w:val="00B90F48"/>
    <w:rsid w:val="00B91712"/>
    <w:rsid w:val="00B930A4"/>
    <w:rsid w:val="00B93125"/>
    <w:rsid w:val="00B9399E"/>
    <w:rsid w:val="00B961B9"/>
    <w:rsid w:val="00B964E5"/>
    <w:rsid w:val="00B97D9E"/>
    <w:rsid w:val="00BA1ABE"/>
    <w:rsid w:val="00BA25FB"/>
    <w:rsid w:val="00BA3432"/>
    <w:rsid w:val="00BA35B1"/>
    <w:rsid w:val="00BA4990"/>
    <w:rsid w:val="00BA68EA"/>
    <w:rsid w:val="00BB2EC7"/>
    <w:rsid w:val="00BB30A7"/>
    <w:rsid w:val="00BB4A57"/>
    <w:rsid w:val="00BB4A6A"/>
    <w:rsid w:val="00BB4EE3"/>
    <w:rsid w:val="00BB69E2"/>
    <w:rsid w:val="00BC0733"/>
    <w:rsid w:val="00BC0A8B"/>
    <w:rsid w:val="00BC12E2"/>
    <w:rsid w:val="00BC19BE"/>
    <w:rsid w:val="00BC1ADA"/>
    <w:rsid w:val="00BC1B1A"/>
    <w:rsid w:val="00BC2AD6"/>
    <w:rsid w:val="00BC3441"/>
    <w:rsid w:val="00BC55D0"/>
    <w:rsid w:val="00BC55ED"/>
    <w:rsid w:val="00BC6303"/>
    <w:rsid w:val="00BC645B"/>
    <w:rsid w:val="00BC6730"/>
    <w:rsid w:val="00BC7405"/>
    <w:rsid w:val="00BC79AD"/>
    <w:rsid w:val="00BD1ED1"/>
    <w:rsid w:val="00BD2E0E"/>
    <w:rsid w:val="00BD38CD"/>
    <w:rsid w:val="00BD3E25"/>
    <w:rsid w:val="00BD4DE2"/>
    <w:rsid w:val="00BD63FB"/>
    <w:rsid w:val="00BD68D0"/>
    <w:rsid w:val="00BD69BD"/>
    <w:rsid w:val="00BE037F"/>
    <w:rsid w:val="00BE0BB8"/>
    <w:rsid w:val="00BE0EBF"/>
    <w:rsid w:val="00BE2C6F"/>
    <w:rsid w:val="00BE40E9"/>
    <w:rsid w:val="00BE4BA4"/>
    <w:rsid w:val="00BE68A4"/>
    <w:rsid w:val="00BE7E64"/>
    <w:rsid w:val="00BF038E"/>
    <w:rsid w:val="00BF0655"/>
    <w:rsid w:val="00BF118D"/>
    <w:rsid w:val="00BF144D"/>
    <w:rsid w:val="00BF1AA5"/>
    <w:rsid w:val="00BF20E9"/>
    <w:rsid w:val="00BF22B6"/>
    <w:rsid w:val="00BF40E5"/>
    <w:rsid w:val="00C005A0"/>
    <w:rsid w:val="00C016E6"/>
    <w:rsid w:val="00C02015"/>
    <w:rsid w:val="00C033D6"/>
    <w:rsid w:val="00C0389C"/>
    <w:rsid w:val="00C04577"/>
    <w:rsid w:val="00C04813"/>
    <w:rsid w:val="00C121FB"/>
    <w:rsid w:val="00C1267E"/>
    <w:rsid w:val="00C12BF6"/>
    <w:rsid w:val="00C13DBB"/>
    <w:rsid w:val="00C14E9D"/>
    <w:rsid w:val="00C156D1"/>
    <w:rsid w:val="00C16178"/>
    <w:rsid w:val="00C16687"/>
    <w:rsid w:val="00C169E7"/>
    <w:rsid w:val="00C17BBA"/>
    <w:rsid w:val="00C20B37"/>
    <w:rsid w:val="00C21852"/>
    <w:rsid w:val="00C2185E"/>
    <w:rsid w:val="00C21A67"/>
    <w:rsid w:val="00C22851"/>
    <w:rsid w:val="00C22CAD"/>
    <w:rsid w:val="00C2392C"/>
    <w:rsid w:val="00C24734"/>
    <w:rsid w:val="00C24B56"/>
    <w:rsid w:val="00C24EB0"/>
    <w:rsid w:val="00C25138"/>
    <w:rsid w:val="00C27DFE"/>
    <w:rsid w:val="00C30F49"/>
    <w:rsid w:val="00C31997"/>
    <w:rsid w:val="00C31D24"/>
    <w:rsid w:val="00C323B6"/>
    <w:rsid w:val="00C326BC"/>
    <w:rsid w:val="00C32DCF"/>
    <w:rsid w:val="00C3473B"/>
    <w:rsid w:val="00C35013"/>
    <w:rsid w:val="00C36DAC"/>
    <w:rsid w:val="00C37970"/>
    <w:rsid w:val="00C40B3A"/>
    <w:rsid w:val="00C41270"/>
    <w:rsid w:val="00C448D1"/>
    <w:rsid w:val="00C470F2"/>
    <w:rsid w:val="00C470FC"/>
    <w:rsid w:val="00C51FA5"/>
    <w:rsid w:val="00C53609"/>
    <w:rsid w:val="00C5529B"/>
    <w:rsid w:val="00C5779C"/>
    <w:rsid w:val="00C60DC0"/>
    <w:rsid w:val="00C6148E"/>
    <w:rsid w:val="00C61D34"/>
    <w:rsid w:val="00C620E0"/>
    <w:rsid w:val="00C62AE2"/>
    <w:rsid w:val="00C65CF6"/>
    <w:rsid w:val="00C67A48"/>
    <w:rsid w:val="00C67C3D"/>
    <w:rsid w:val="00C7048D"/>
    <w:rsid w:val="00C758DF"/>
    <w:rsid w:val="00C7599F"/>
    <w:rsid w:val="00C76BB2"/>
    <w:rsid w:val="00C77043"/>
    <w:rsid w:val="00C80F81"/>
    <w:rsid w:val="00C811DE"/>
    <w:rsid w:val="00C82183"/>
    <w:rsid w:val="00C825A3"/>
    <w:rsid w:val="00C84269"/>
    <w:rsid w:val="00C8649E"/>
    <w:rsid w:val="00C86550"/>
    <w:rsid w:val="00C87DFF"/>
    <w:rsid w:val="00C90195"/>
    <w:rsid w:val="00C91082"/>
    <w:rsid w:val="00C93159"/>
    <w:rsid w:val="00C93647"/>
    <w:rsid w:val="00C9372A"/>
    <w:rsid w:val="00C94756"/>
    <w:rsid w:val="00C94C7F"/>
    <w:rsid w:val="00C94C8E"/>
    <w:rsid w:val="00C955C9"/>
    <w:rsid w:val="00C95B7B"/>
    <w:rsid w:val="00C968B0"/>
    <w:rsid w:val="00C97216"/>
    <w:rsid w:val="00CA0A4D"/>
    <w:rsid w:val="00CA1FB6"/>
    <w:rsid w:val="00CA3D19"/>
    <w:rsid w:val="00CA4948"/>
    <w:rsid w:val="00CA5D6D"/>
    <w:rsid w:val="00CA7D8D"/>
    <w:rsid w:val="00CB0135"/>
    <w:rsid w:val="00CB164A"/>
    <w:rsid w:val="00CB26CA"/>
    <w:rsid w:val="00CB2B3E"/>
    <w:rsid w:val="00CB3C62"/>
    <w:rsid w:val="00CB5FF8"/>
    <w:rsid w:val="00CB7AC4"/>
    <w:rsid w:val="00CC0078"/>
    <w:rsid w:val="00CC11A6"/>
    <w:rsid w:val="00CC1369"/>
    <w:rsid w:val="00CC1688"/>
    <w:rsid w:val="00CC1725"/>
    <w:rsid w:val="00CC6ECC"/>
    <w:rsid w:val="00CC71F8"/>
    <w:rsid w:val="00CC7C68"/>
    <w:rsid w:val="00CD1C16"/>
    <w:rsid w:val="00CD6FD9"/>
    <w:rsid w:val="00CD7FAB"/>
    <w:rsid w:val="00CE00FE"/>
    <w:rsid w:val="00CE111C"/>
    <w:rsid w:val="00CE17AC"/>
    <w:rsid w:val="00CE19C2"/>
    <w:rsid w:val="00CE3B92"/>
    <w:rsid w:val="00CE5EA6"/>
    <w:rsid w:val="00CF07E1"/>
    <w:rsid w:val="00CF09AF"/>
    <w:rsid w:val="00CF3564"/>
    <w:rsid w:val="00CF46C7"/>
    <w:rsid w:val="00CF499E"/>
    <w:rsid w:val="00CF5701"/>
    <w:rsid w:val="00CF6980"/>
    <w:rsid w:val="00CF74FD"/>
    <w:rsid w:val="00CF7974"/>
    <w:rsid w:val="00D009B3"/>
    <w:rsid w:val="00D01089"/>
    <w:rsid w:val="00D0218E"/>
    <w:rsid w:val="00D025CE"/>
    <w:rsid w:val="00D04467"/>
    <w:rsid w:val="00D04982"/>
    <w:rsid w:val="00D061EC"/>
    <w:rsid w:val="00D062FA"/>
    <w:rsid w:val="00D07F5E"/>
    <w:rsid w:val="00D07F7A"/>
    <w:rsid w:val="00D10726"/>
    <w:rsid w:val="00D11A29"/>
    <w:rsid w:val="00D12FC8"/>
    <w:rsid w:val="00D14108"/>
    <w:rsid w:val="00D15590"/>
    <w:rsid w:val="00D15835"/>
    <w:rsid w:val="00D15937"/>
    <w:rsid w:val="00D16126"/>
    <w:rsid w:val="00D17B2E"/>
    <w:rsid w:val="00D2136E"/>
    <w:rsid w:val="00D21E08"/>
    <w:rsid w:val="00D21FB6"/>
    <w:rsid w:val="00D22DF9"/>
    <w:rsid w:val="00D23882"/>
    <w:rsid w:val="00D23B34"/>
    <w:rsid w:val="00D26975"/>
    <w:rsid w:val="00D26FB4"/>
    <w:rsid w:val="00D27571"/>
    <w:rsid w:val="00D312D3"/>
    <w:rsid w:val="00D320C8"/>
    <w:rsid w:val="00D32A63"/>
    <w:rsid w:val="00D33239"/>
    <w:rsid w:val="00D33578"/>
    <w:rsid w:val="00D349B8"/>
    <w:rsid w:val="00D34FEF"/>
    <w:rsid w:val="00D355C0"/>
    <w:rsid w:val="00D36B5A"/>
    <w:rsid w:val="00D411D5"/>
    <w:rsid w:val="00D41337"/>
    <w:rsid w:val="00D413B0"/>
    <w:rsid w:val="00D41B0B"/>
    <w:rsid w:val="00D4229B"/>
    <w:rsid w:val="00D4237E"/>
    <w:rsid w:val="00D4258B"/>
    <w:rsid w:val="00D426F5"/>
    <w:rsid w:val="00D43174"/>
    <w:rsid w:val="00D4425A"/>
    <w:rsid w:val="00D4446C"/>
    <w:rsid w:val="00D44C8C"/>
    <w:rsid w:val="00D4566B"/>
    <w:rsid w:val="00D479F0"/>
    <w:rsid w:val="00D50859"/>
    <w:rsid w:val="00D51358"/>
    <w:rsid w:val="00D54729"/>
    <w:rsid w:val="00D578EE"/>
    <w:rsid w:val="00D57A33"/>
    <w:rsid w:val="00D57F7E"/>
    <w:rsid w:val="00D60062"/>
    <w:rsid w:val="00D611B1"/>
    <w:rsid w:val="00D61D5C"/>
    <w:rsid w:val="00D63845"/>
    <w:rsid w:val="00D6491D"/>
    <w:rsid w:val="00D67025"/>
    <w:rsid w:val="00D72980"/>
    <w:rsid w:val="00D73051"/>
    <w:rsid w:val="00D75000"/>
    <w:rsid w:val="00D75151"/>
    <w:rsid w:val="00D75654"/>
    <w:rsid w:val="00D76CA3"/>
    <w:rsid w:val="00D802FD"/>
    <w:rsid w:val="00D80C8D"/>
    <w:rsid w:val="00D815ED"/>
    <w:rsid w:val="00D831A4"/>
    <w:rsid w:val="00D83246"/>
    <w:rsid w:val="00D84307"/>
    <w:rsid w:val="00D84659"/>
    <w:rsid w:val="00D859D2"/>
    <w:rsid w:val="00D8619D"/>
    <w:rsid w:val="00D86ACF"/>
    <w:rsid w:val="00D874F9"/>
    <w:rsid w:val="00D87C1A"/>
    <w:rsid w:val="00D900A1"/>
    <w:rsid w:val="00D94795"/>
    <w:rsid w:val="00D955DA"/>
    <w:rsid w:val="00D956E2"/>
    <w:rsid w:val="00D96034"/>
    <w:rsid w:val="00D96C0B"/>
    <w:rsid w:val="00D96F7E"/>
    <w:rsid w:val="00DA41D2"/>
    <w:rsid w:val="00DA473D"/>
    <w:rsid w:val="00DA49DF"/>
    <w:rsid w:val="00DA6497"/>
    <w:rsid w:val="00DA6A95"/>
    <w:rsid w:val="00DA6D13"/>
    <w:rsid w:val="00DB125B"/>
    <w:rsid w:val="00DB19FD"/>
    <w:rsid w:val="00DB1B51"/>
    <w:rsid w:val="00DB2AAD"/>
    <w:rsid w:val="00DB2F98"/>
    <w:rsid w:val="00DB4E22"/>
    <w:rsid w:val="00DB6D52"/>
    <w:rsid w:val="00DB747E"/>
    <w:rsid w:val="00DB7617"/>
    <w:rsid w:val="00DB7A6B"/>
    <w:rsid w:val="00DC19B1"/>
    <w:rsid w:val="00DC1B58"/>
    <w:rsid w:val="00DC2144"/>
    <w:rsid w:val="00DC25D9"/>
    <w:rsid w:val="00DC4237"/>
    <w:rsid w:val="00DC5DFB"/>
    <w:rsid w:val="00DC78AA"/>
    <w:rsid w:val="00DD376F"/>
    <w:rsid w:val="00DD3C42"/>
    <w:rsid w:val="00DD3DC1"/>
    <w:rsid w:val="00DD562E"/>
    <w:rsid w:val="00DD69BB"/>
    <w:rsid w:val="00DD747F"/>
    <w:rsid w:val="00DD7C7D"/>
    <w:rsid w:val="00DE0E59"/>
    <w:rsid w:val="00DE1F95"/>
    <w:rsid w:val="00DE53D1"/>
    <w:rsid w:val="00DE5A6D"/>
    <w:rsid w:val="00DE5D5B"/>
    <w:rsid w:val="00DE67E5"/>
    <w:rsid w:val="00DF005E"/>
    <w:rsid w:val="00DF0ED8"/>
    <w:rsid w:val="00DF1CE6"/>
    <w:rsid w:val="00DF38AC"/>
    <w:rsid w:val="00DF7E22"/>
    <w:rsid w:val="00E023FA"/>
    <w:rsid w:val="00E03C55"/>
    <w:rsid w:val="00E0752B"/>
    <w:rsid w:val="00E110A5"/>
    <w:rsid w:val="00E1346B"/>
    <w:rsid w:val="00E141EA"/>
    <w:rsid w:val="00E14306"/>
    <w:rsid w:val="00E155DC"/>
    <w:rsid w:val="00E159AD"/>
    <w:rsid w:val="00E21B90"/>
    <w:rsid w:val="00E23197"/>
    <w:rsid w:val="00E249F9"/>
    <w:rsid w:val="00E254E3"/>
    <w:rsid w:val="00E25855"/>
    <w:rsid w:val="00E25EDF"/>
    <w:rsid w:val="00E27DF9"/>
    <w:rsid w:val="00E30018"/>
    <w:rsid w:val="00E3304A"/>
    <w:rsid w:val="00E33FD9"/>
    <w:rsid w:val="00E35FB4"/>
    <w:rsid w:val="00E374DD"/>
    <w:rsid w:val="00E40622"/>
    <w:rsid w:val="00E438FF"/>
    <w:rsid w:val="00E45835"/>
    <w:rsid w:val="00E5005C"/>
    <w:rsid w:val="00E51194"/>
    <w:rsid w:val="00E51715"/>
    <w:rsid w:val="00E523C9"/>
    <w:rsid w:val="00E528BF"/>
    <w:rsid w:val="00E54BB5"/>
    <w:rsid w:val="00E570DD"/>
    <w:rsid w:val="00E57149"/>
    <w:rsid w:val="00E5754A"/>
    <w:rsid w:val="00E57862"/>
    <w:rsid w:val="00E60197"/>
    <w:rsid w:val="00E60B21"/>
    <w:rsid w:val="00E60CB8"/>
    <w:rsid w:val="00E60E46"/>
    <w:rsid w:val="00E61BF6"/>
    <w:rsid w:val="00E62283"/>
    <w:rsid w:val="00E640F7"/>
    <w:rsid w:val="00E64889"/>
    <w:rsid w:val="00E654AC"/>
    <w:rsid w:val="00E65660"/>
    <w:rsid w:val="00E65904"/>
    <w:rsid w:val="00E65ECF"/>
    <w:rsid w:val="00E67BF7"/>
    <w:rsid w:val="00E71D2A"/>
    <w:rsid w:val="00E72564"/>
    <w:rsid w:val="00E72964"/>
    <w:rsid w:val="00E731CF"/>
    <w:rsid w:val="00E73AA7"/>
    <w:rsid w:val="00E74B32"/>
    <w:rsid w:val="00E74D03"/>
    <w:rsid w:val="00E74DD2"/>
    <w:rsid w:val="00E74F5D"/>
    <w:rsid w:val="00E75571"/>
    <w:rsid w:val="00E7684C"/>
    <w:rsid w:val="00E800C2"/>
    <w:rsid w:val="00E807BF"/>
    <w:rsid w:val="00E81E6C"/>
    <w:rsid w:val="00E83AD7"/>
    <w:rsid w:val="00E842C9"/>
    <w:rsid w:val="00E842EB"/>
    <w:rsid w:val="00E84E23"/>
    <w:rsid w:val="00E85D66"/>
    <w:rsid w:val="00E86250"/>
    <w:rsid w:val="00E86FD5"/>
    <w:rsid w:val="00E90952"/>
    <w:rsid w:val="00E92C94"/>
    <w:rsid w:val="00E93057"/>
    <w:rsid w:val="00E93E9A"/>
    <w:rsid w:val="00E955D3"/>
    <w:rsid w:val="00E95BAC"/>
    <w:rsid w:val="00E97F26"/>
    <w:rsid w:val="00EA0073"/>
    <w:rsid w:val="00EA061D"/>
    <w:rsid w:val="00EA19FF"/>
    <w:rsid w:val="00EA2389"/>
    <w:rsid w:val="00EA2650"/>
    <w:rsid w:val="00EA2CCE"/>
    <w:rsid w:val="00EA35B4"/>
    <w:rsid w:val="00EA4E02"/>
    <w:rsid w:val="00EA64C9"/>
    <w:rsid w:val="00EA6AD8"/>
    <w:rsid w:val="00EA6DF8"/>
    <w:rsid w:val="00EA77D4"/>
    <w:rsid w:val="00EB02C7"/>
    <w:rsid w:val="00EB1281"/>
    <w:rsid w:val="00EB1FFF"/>
    <w:rsid w:val="00EB3520"/>
    <w:rsid w:val="00EB3D1C"/>
    <w:rsid w:val="00EB4D60"/>
    <w:rsid w:val="00EB76F5"/>
    <w:rsid w:val="00EC05FF"/>
    <w:rsid w:val="00EC12AF"/>
    <w:rsid w:val="00EC13FB"/>
    <w:rsid w:val="00EC18C8"/>
    <w:rsid w:val="00EC256D"/>
    <w:rsid w:val="00EC43D5"/>
    <w:rsid w:val="00EC5F96"/>
    <w:rsid w:val="00EC6E14"/>
    <w:rsid w:val="00ED01F0"/>
    <w:rsid w:val="00ED2226"/>
    <w:rsid w:val="00ED30A3"/>
    <w:rsid w:val="00ED3BCB"/>
    <w:rsid w:val="00ED3C55"/>
    <w:rsid w:val="00ED434F"/>
    <w:rsid w:val="00ED5A5D"/>
    <w:rsid w:val="00ED7A4B"/>
    <w:rsid w:val="00EE00C8"/>
    <w:rsid w:val="00EE048A"/>
    <w:rsid w:val="00EE0A1B"/>
    <w:rsid w:val="00EE0B34"/>
    <w:rsid w:val="00EE4A14"/>
    <w:rsid w:val="00EE4F69"/>
    <w:rsid w:val="00EE5CAC"/>
    <w:rsid w:val="00EE6488"/>
    <w:rsid w:val="00EE69F8"/>
    <w:rsid w:val="00EF0C16"/>
    <w:rsid w:val="00EF12D1"/>
    <w:rsid w:val="00EF3F71"/>
    <w:rsid w:val="00EF40C5"/>
    <w:rsid w:val="00EF4B26"/>
    <w:rsid w:val="00EF7912"/>
    <w:rsid w:val="00F00619"/>
    <w:rsid w:val="00F006E7"/>
    <w:rsid w:val="00F01525"/>
    <w:rsid w:val="00F02224"/>
    <w:rsid w:val="00F02477"/>
    <w:rsid w:val="00F0299C"/>
    <w:rsid w:val="00F02B62"/>
    <w:rsid w:val="00F034C7"/>
    <w:rsid w:val="00F0406D"/>
    <w:rsid w:val="00F04C38"/>
    <w:rsid w:val="00F05FB2"/>
    <w:rsid w:val="00F079D1"/>
    <w:rsid w:val="00F111F8"/>
    <w:rsid w:val="00F1480C"/>
    <w:rsid w:val="00F172E0"/>
    <w:rsid w:val="00F20486"/>
    <w:rsid w:val="00F22E23"/>
    <w:rsid w:val="00F243E1"/>
    <w:rsid w:val="00F25329"/>
    <w:rsid w:val="00F25CDD"/>
    <w:rsid w:val="00F26EC9"/>
    <w:rsid w:val="00F30847"/>
    <w:rsid w:val="00F30F26"/>
    <w:rsid w:val="00F31922"/>
    <w:rsid w:val="00F320F3"/>
    <w:rsid w:val="00F3239E"/>
    <w:rsid w:val="00F35A61"/>
    <w:rsid w:val="00F3604F"/>
    <w:rsid w:val="00F36761"/>
    <w:rsid w:val="00F37159"/>
    <w:rsid w:val="00F372AE"/>
    <w:rsid w:val="00F40708"/>
    <w:rsid w:val="00F40BA8"/>
    <w:rsid w:val="00F412FC"/>
    <w:rsid w:val="00F440C5"/>
    <w:rsid w:val="00F462FC"/>
    <w:rsid w:val="00F465D2"/>
    <w:rsid w:val="00F474AC"/>
    <w:rsid w:val="00F5074A"/>
    <w:rsid w:val="00F511D5"/>
    <w:rsid w:val="00F5227B"/>
    <w:rsid w:val="00F5333F"/>
    <w:rsid w:val="00F533BC"/>
    <w:rsid w:val="00F54062"/>
    <w:rsid w:val="00F55EF4"/>
    <w:rsid w:val="00F604E3"/>
    <w:rsid w:val="00F6429D"/>
    <w:rsid w:val="00F642B3"/>
    <w:rsid w:val="00F64674"/>
    <w:rsid w:val="00F6592F"/>
    <w:rsid w:val="00F66587"/>
    <w:rsid w:val="00F66B69"/>
    <w:rsid w:val="00F67532"/>
    <w:rsid w:val="00F67B86"/>
    <w:rsid w:val="00F67CA5"/>
    <w:rsid w:val="00F70B1B"/>
    <w:rsid w:val="00F74C69"/>
    <w:rsid w:val="00F7636B"/>
    <w:rsid w:val="00F77800"/>
    <w:rsid w:val="00F779DA"/>
    <w:rsid w:val="00F80519"/>
    <w:rsid w:val="00F80B4A"/>
    <w:rsid w:val="00F82B26"/>
    <w:rsid w:val="00F852C4"/>
    <w:rsid w:val="00F85789"/>
    <w:rsid w:val="00F85ACA"/>
    <w:rsid w:val="00F86BC8"/>
    <w:rsid w:val="00F905BE"/>
    <w:rsid w:val="00F919D0"/>
    <w:rsid w:val="00F925E7"/>
    <w:rsid w:val="00F933CD"/>
    <w:rsid w:val="00F93F03"/>
    <w:rsid w:val="00F956C5"/>
    <w:rsid w:val="00F95FBE"/>
    <w:rsid w:val="00FA000E"/>
    <w:rsid w:val="00FA0897"/>
    <w:rsid w:val="00FA23D1"/>
    <w:rsid w:val="00FA248D"/>
    <w:rsid w:val="00FA2545"/>
    <w:rsid w:val="00FA35AB"/>
    <w:rsid w:val="00FA393F"/>
    <w:rsid w:val="00FA574C"/>
    <w:rsid w:val="00FA5F06"/>
    <w:rsid w:val="00FA64C2"/>
    <w:rsid w:val="00FA6CA5"/>
    <w:rsid w:val="00FA774F"/>
    <w:rsid w:val="00FA7B8F"/>
    <w:rsid w:val="00FA7E08"/>
    <w:rsid w:val="00FB051A"/>
    <w:rsid w:val="00FB05A8"/>
    <w:rsid w:val="00FB19DC"/>
    <w:rsid w:val="00FB2BDA"/>
    <w:rsid w:val="00FB3685"/>
    <w:rsid w:val="00FB428E"/>
    <w:rsid w:val="00FB5472"/>
    <w:rsid w:val="00FC0D84"/>
    <w:rsid w:val="00FC0E8F"/>
    <w:rsid w:val="00FC207E"/>
    <w:rsid w:val="00FC20F2"/>
    <w:rsid w:val="00FC4060"/>
    <w:rsid w:val="00FC4176"/>
    <w:rsid w:val="00FC466A"/>
    <w:rsid w:val="00FC4B31"/>
    <w:rsid w:val="00FC5234"/>
    <w:rsid w:val="00FC59FB"/>
    <w:rsid w:val="00FC5AB1"/>
    <w:rsid w:val="00FC5DC2"/>
    <w:rsid w:val="00FC725C"/>
    <w:rsid w:val="00FC766A"/>
    <w:rsid w:val="00FC76AA"/>
    <w:rsid w:val="00FD0EA3"/>
    <w:rsid w:val="00FD3831"/>
    <w:rsid w:val="00FD3CB7"/>
    <w:rsid w:val="00FD68DC"/>
    <w:rsid w:val="00FD6FE9"/>
    <w:rsid w:val="00FD7B83"/>
    <w:rsid w:val="00FD7F69"/>
    <w:rsid w:val="00FE0037"/>
    <w:rsid w:val="00FE0A2A"/>
    <w:rsid w:val="00FE2229"/>
    <w:rsid w:val="00FE25E3"/>
    <w:rsid w:val="00FE2DE6"/>
    <w:rsid w:val="00FE2ECB"/>
    <w:rsid w:val="00FE3A81"/>
    <w:rsid w:val="00FE45F0"/>
    <w:rsid w:val="00FE4650"/>
    <w:rsid w:val="00FE51C0"/>
    <w:rsid w:val="00FE5F87"/>
    <w:rsid w:val="00FE7273"/>
    <w:rsid w:val="00FE78D8"/>
    <w:rsid w:val="00FF07D1"/>
    <w:rsid w:val="00FF144C"/>
    <w:rsid w:val="00FF15C8"/>
    <w:rsid w:val="00FF2893"/>
    <w:rsid w:val="00FF3361"/>
    <w:rsid w:val="00FF3E3A"/>
    <w:rsid w:val="00FF4BAA"/>
    <w:rsid w:val="00FF690B"/>
    <w:rsid w:val="01791910"/>
    <w:rsid w:val="0CDC2600"/>
    <w:rsid w:val="11381D05"/>
    <w:rsid w:val="1A4D1674"/>
    <w:rsid w:val="1EBD6BC9"/>
    <w:rsid w:val="25910889"/>
    <w:rsid w:val="31EA5615"/>
    <w:rsid w:val="33AC1E49"/>
    <w:rsid w:val="34614EE9"/>
    <w:rsid w:val="3EA80B54"/>
    <w:rsid w:val="415E0979"/>
    <w:rsid w:val="497944FB"/>
    <w:rsid w:val="4F157853"/>
    <w:rsid w:val="567344CC"/>
    <w:rsid w:val="5DE141CE"/>
    <w:rsid w:val="676C0B6F"/>
    <w:rsid w:val="68272653"/>
    <w:rsid w:val="727923CF"/>
    <w:rsid w:val="755E1F09"/>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50" w:beforeLines="50" w:after="50" w:afterLines="50" w:line="560" w:lineRule="exact"/>
      <w:ind w:firstLine="200" w:firstLineChars="200"/>
      <w:jc w:val="both"/>
    </w:pPr>
    <w:rPr>
      <w:rFonts w:ascii="Times New Roman" w:hAnsi="Times New Roman" w:eastAsia="仿宋_GB2312" w:cstheme="minorBidi"/>
      <w:kern w:val="2"/>
      <w:sz w:val="32"/>
      <w:szCs w:val="24"/>
      <w:lang w:val="en-US" w:eastAsia="zh-CN" w:bidi="ar-SA"/>
    </w:rPr>
  </w:style>
  <w:style w:type="paragraph" w:styleId="2">
    <w:name w:val="heading 1"/>
    <w:basedOn w:val="1"/>
    <w:link w:val="18"/>
    <w:qFormat/>
    <w:uiPriority w:val="9"/>
    <w:pPr>
      <w:keepNext/>
      <w:keepLines/>
      <w:spacing w:line="560" w:lineRule="atLeast"/>
      <w:outlineLvl w:val="0"/>
    </w:pPr>
    <w:rPr>
      <w:rFonts w:eastAsia="黑体"/>
      <w:b/>
      <w:bCs/>
      <w:kern w:val="44"/>
      <w:szCs w:val="44"/>
    </w:rPr>
  </w:style>
  <w:style w:type="paragraph" w:styleId="3">
    <w:name w:val="heading 2"/>
    <w:basedOn w:val="1"/>
    <w:link w:val="19"/>
    <w:unhideWhenUsed/>
    <w:qFormat/>
    <w:uiPriority w:val="9"/>
    <w:pPr>
      <w:keepNext/>
      <w:keepLines/>
      <w:spacing w:line="560" w:lineRule="atLeast"/>
      <w:outlineLvl w:val="1"/>
    </w:pPr>
    <w:rPr>
      <w:rFonts w:eastAsia="楷体_GB2312" w:cstheme="majorBidi"/>
      <w:bCs/>
      <w:szCs w:val="32"/>
    </w:rPr>
  </w:style>
  <w:style w:type="paragraph" w:styleId="4">
    <w:name w:val="heading 3"/>
    <w:basedOn w:val="1"/>
    <w:link w:val="21"/>
    <w:unhideWhenUsed/>
    <w:qFormat/>
    <w:uiPriority w:val="9"/>
    <w:pPr>
      <w:keepNext/>
      <w:keepLines/>
      <w:spacing w:before="217" w:after="217" w:line="560" w:lineRule="atLeast"/>
      <w:ind w:firstLine="643"/>
      <w:outlineLvl w:val="2"/>
    </w:pPr>
    <w:rPr>
      <w:b/>
      <w:bCs/>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3"/>
    <w:unhideWhenUsed/>
    <w:qFormat/>
    <w:uiPriority w:val="99"/>
    <w:pPr>
      <w:spacing w:after="120"/>
    </w:pPr>
  </w:style>
  <w:style w:type="paragraph" w:styleId="6">
    <w:name w:val="toc 3"/>
    <w:basedOn w:val="1"/>
    <w:unhideWhenUsed/>
    <w:qFormat/>
    <w:uiPriority w:val="39"/>
    <w:pPr>
      <w:ind w:left="840" w:leftChars="400"/>
    </w:pPr>
  </w:style>
  <w:style w:type="paragraph" w:styleId="7">
    <w:name w:val="Date"/>
    <w:basedOn w:val="1"/>
    <w:link w:val="24"/>
    <w:semiHidden/>
    <w:unhideWhenUsed/>
    <w:qFormat/>
    <w:uiPriority w:val="99"/>
    <w:pPr>
      <w:ind w:left="100" w:leftChars="2500"/>
    </w:pPr>
  </w:style>
  <w:style w:type="paragraph" w:styleId="8">
    <w:name w:val="footer"/>
    <w:basedOn w:val="1"/>
    <w:link w:val="27"/>
    <w:unhideWhenUsed/>
    <w:qFormat/>
    <w:uiPriority w:val="99"/>
    <w:pPr>
      <w:tabs>
        <w:tab w:val="center" w:pos="4153"/>
        <w:tab w:val="right" w:pos="8306"/>
      </w:tabs>
      <w:snapToGrid w:val="0"/>
      <w:spacing w:line="240" w:lineRule="atLeast"/>
      <w:jc w:val="left"/>
    </w:pPr>
    <w:rPr>
      <w:sz w:val="18"/>
      <w:szCs w:val="18"/>
    </w:rPr>
  </w:style>
  <w:style w:type="paragraph" w:styleId="9">
    <w:name w:val="header"/>
    <w:basedOn w:val="1"/>
    <w:link w:val="26"/>
    <w:unhideWhenUsed/>
    <w:qFormat/>
    <w:uiPriority w:val="99"/>
    <w:pPr>
      <w:tabs>
        <w:tab w:val="center" w:pos="4153"/>
        <w:tab w:val="right" w:pos="8306"/>
      </w:tabs>
      <w:snapToGrid w:val="0"/>
      <w:spacing w:line="240" w:lineRule="atLeast"/>
      <w:jc w:val="center"/>
    </w:pPr>
    <w:rPr>
      <w:sz w:val="18"/>
      <w:szCs w:val="18"/>
    </w:rPr>
  </w:style>
  <w:style w:type="paragraph" w:styleId="10">
    <w:name w:val="toc 1"/>
    <w:basedOn w:val="1"/>
    <w:unhideWhenUsed/>
    <w:qFormat/>
    <w:uiPriority w:val="39"/>
    <w:pPr>
      <w:tabs>
        <w:tab w:val="right" w:leader="dot" w:pos="8296"/>
      </w:tabs>
      <w:adjustRightInd w:val="0"/>
      <w:snapToGrid w:val="0"/>
      <w:spacing w:before="217" w:after="217" w:line="240" w:lineRule="auto"/>
      <w:ind w:firstLine="0" w:firstLineChars="0"/>
    </w:pPr>
    <w:rPr>
      <w:rFonts w:eastAsia="黑体" w:cs="Times New Roman"/>
      <w:b/>
      <w:bCs/>
      <w:sz w:val="30"/>
      <w:szCs w:val="30"/>
    </w:rPr>
  </w:style>
  <w:style w:type="paragraph" w:styleId="11">
    <w:name w:val="toc 2"/>
    <w:basedOn w:val="1"/>
    <w:unhideWhenUsed/>
    <w:qFormat/>
    <w:uiPriority w:val="39"/>
    <w:pPr>
      <w:ind w:left="420" w:leftChars="200"/>
    </w:pPr>
  </w:style>
  <w:style w:type="paragraph" w:styleId="12">
    <w:name w:val="Title"/>
    <w:basedOn w:val="4"/>
    <w:link w:val="20"/>
    <w:qFormat/>
    <w:uiPriority w:val="10"/>
    <w:pPr>
      <w:jc w:val="center"/>
      <w:outlineLvl w:val="0"/>
    </w:pPr>
    <w:rPr>
      <w:rFonts w:cstheme="majorBidi"/>
      <w:b w:val="0"/>
      <w:bCs w:val="0"/>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basedOn w:val="15"/>
    <w:semiHidden/>
    <w:unhideWhenUsed/>
    <w:qFormat/>
    <w:uiPriority w:val="99"/>
    <w:rPr>
      <w:color w:val="954F72" w:themeColor="followedHyperlink"/>
      <w:u w:val="single"/>
      <w14:textFill>
        <w14:solidFill>
          <w14:schemeClr w14:val="folHlink"/>
        </w14:solidFill>
      </w14:textFill>
    </w:rPr>
  </w:style>
  <w:style w:type="character" w:styleId="17">
    <w:name w:val="Hyperlink"/>
    <w:basedOn w:val="15"/>
    <w:unhideWhenUsed/>
    <w:qFormat/>
    <w:uiPriority w:val="99"/>
    <w:rPr>
      <w:color w:val="0563C1" w:themeColor="hyperlink"/>
      <w:u w:val="single"/>
      <w14:textFill>
        <w14:solidFill>
          <w14:schemeClr w14:val="hlink"/>
        </w14:solidFill>
      </w14:textFill>
    </w:rPr>
  </w:style>
  <w:style w:type="character" w:customStyle="1" w:styleId="18">
    <w:name w:val="标题 1 字符"/>
    <w:basedOn w:val="15"/>
    <w:link w:val="2"/>
    <w:qFormat/>
    <w:uiPriority w:val="9"/>
    <w:rPr>
      <w:rFonts w:ascii="Times New Roman" w:hAnsi="Times New Roman" w:eastAsia="黑体"/>
      <w:b/>
      <w:bCs/>
      <w:kern w:val="44"/>
      <w:sz w:val="32"/>
      <w:szCs w:val="44"/>
    </w:rPr>
  </w:style>
  <w:style w:type="character" w:customStyle="1" w:styleId="19">
    <w:name w:val="标题 2 字符"/>
    <w:basedOn w:val="15"/>
    <w:link w:val="3"/>
    <w:qFormat/>
    <w:uiPriority w:val="9"/>
    <w:rPr>
      <w:rFonts w:ascii="Times New Roman" w:hAnsi="Times New Roman" w:eastAsia="楷体_GB2312" w:cstheme="majorBidi"/>
      <w:bCs/>
      <w:sz w:val="32"/>
      <w:szCs w:val="32"/>
    </w:rPr>
  </w:style>
  <w:style w:type="character" w:customStyle="1" w:styleId="20">
    <w:name w:val="标题 字符"/>
    <w:basedOn w:val="15"/>
    <w:link w:val="12"/>
    <w:qFormat/>
    <w:uiPriority w:val="10"/>
    <w:rPr>
      <w:rFonts w:ascii="Times New Roman" w:hAnsi="Times New Roman" w:eastAsia="仿宋_GB2312" w:cstheme="majorBidi"/>
      <w:sz w:val="32"/>
      <w:szCs w:val="32"/>
    </w:rPr>
  </w:style>
  <w:style w:type="character" w:customStyle="1" w:styleId="21">
    <w:name w:val="标题 3 字符"/>
    <w:basedOn w:val="15"/>
    <w:link w:val="4"/>
    <w:qFormat/>
    <w:uiPriority w:val="9"/>
    <w:rPr>
      <w:rFonts w:ascii="Times New Roman" w:hAnsi="Times New Roman" w:eastAsia="仿宋_GB2312"/>
      <w:b/>
      <w:bCs/>
      <w:sz w:val="32"/>
      <w:szCs w:val="32"/>
    </w:rPr>
  </w:style>
  <w:style w:type="paragraph" w:styleId="22">
    <w:name w:val="No Spacing"/>
    <w:qFormat/>
    <w:uiPriority w:val="1"/>
    <w:pPr>
      <w:spacing w:before="50" w:beforeLines="50" w:after="50" w:afterLines="50" w:line="560" w:lineRule="exact"/>
      <w:jc w:val="center"/>
    </w:pPr>
    <w:rPr>
      <w:rFonts w:ascii="Times New Roman" w:hAnsi="Times New Roman" w:eastAsia="方正小标宋简体" w:cstheme="minorBidi"/>
      <w:kern w:val="2"/>
      <w:sz w:val="44"/>
      <w:szCs w:val="22"/>
      <w:lang w:val="en-US" w:eastAsia="zh-CN" w:bidi="ar-SA"/>
    </w:rPr>
  </w:style>
  <w:style w:type="character" w:customStyle="1" w:styleId="23">
    <w:name w:val="正文文本 字符"/>
    <w:basedOn w:val="15"/>
    <w:link w:val="5"/>
    <w:qFormat/>
    <w:uiPriority w:val="99"/>
    <w:rPr>
      <w:rFonts w:eastAsia="仿宋_GB2312"/>
      <w:sz w:val="32"/>
      <w:szCs w:val="24"/>
    </w:rPr>
  </w:style>
  <w:style w:type="character" w:customStyle="1" w:styleId="24">
    <w:name w:val="日期 字符"/>
    <w:basedOn w:val="15"/>
    <w:link w:val="7"/>
    <w:semiHidden/>
    <w:qFormat/>
    <w:uiPriority w:val="99"/>
    <w:rPr>
      <w:rFonts w:ascii="Times New Roman" w:hAnsi="Times New Roman" w:eastAsia="仿宋_GB2312"/>
      <w:sz w:val="32"/>
      <w:szCs w:val="24"/>
    </w:rPr>
  </w:style>
  <w:style w:type="paragraph" w:styleId="25">
    <w:name w:val="List Paragraph"/>
    <w:basedOn w:val="1"/>
    <w:qFormat/>
    <w:uiPriority w:val="34"/>
    <w:pPr>
      <w:ind w:firstLine="420"/>
    </w:pPr>
  </w:style>
  <w:style w:type="character" w:customStyle="1" w:styleId="26">
    <w:name w:val="页眉 字符"/>
    <w:basedOn w:val="15"/>
    <w:link w:val="9"/>
    <w:qFormat/>
    <w:uiPriority w:val="99"/>
    <w:rPr>
      <w:rFonts w:ascii="Times New Roman" w:hAnsi="Times New Roman" w:eastAsia="仿宋_GB2312"/>
      <w:sz w:val="18"/>
      <w:szCs w:val="18"/>
    </w:rPr>
  </w:style>
  <w:style w:type="character" w:customStyle="1" w:styleId="27">
    <w:name w:val="页脚 字符"/>
    <w:basedOn w:val="15"/>
    <w:link w:val="8"/>
    <w:qFormat/>
    <w:uiPriority w:val="99"/>
    <w:rPr>
      <w:rFonts w:ascii="Times New Roman" w:hAnsi="Times New Roman" w:eastAsia="仿宋_GB2312"/>
      <w:sz w:val="18"/>
      <w:szCs w:val="18"/>
    </w:rPr>
  </w:style>
  <w:style w:type="character" w:customStyle="1" w:styleId="28">
    <w:name w:val="未处理的提及1"/>
    <w:basedOn w:val="15"/>
    <w:semiHidden/>
    <w:unhideWhenUsed/>
    <w:qFormat/>
    <w:uiPriority w:val="99"/>
    <w:rPr>
      <w:color w:val="605E5C"/>
      <w:shd w:val="clear" w:color="auto" w:fill="E1DFDD"/>
    </w:rPr>
  </w:style>
  <w:style w:type="paragraph" w:customStyle="1" w:styleId="29">
    <w:name w:val="TOC 标题1"/>
    <w:basedOn w:val="2"/>
    <w:unhideWhenUsed/>
    <w:qFormat/>
    <w:uiPriority w:val="39"/>
    <w:pPr>
      <w:widowControl/>
      <w:spacing w:before="240" w:beforeLines="0" w:after="0" w:afterLines="0" w:line="259" w:lineRule="auto"/>
      <w:ind w:firstLine="0" w:firstLineChars="0"/>
      <w:jc w:val="left"/>
      <w:outlineLvl w:val="9"/>
    </w:pPr>
    <w:rPr>
      <w:rFonts w:asciiTheme="majorHAnsi" w:hAnsiTheme="majorHAnsi" w:eastAsiaTheme="majorEastAsia" w:cstheme="majorBidi"/>
      <w:b w:val="0"/>
      <w:bCs w:val="0"/>
      <w:color w:val="2F5597" w:themeColor="accent1" w:themeShade="BF"/>
      <w:kern w:val="0"/>
      <w:szCs w:val="32"/>
    </w:rPr>
  </w:style>
  <w:style w:type="paragraph" w:customStyle="1" w:styleId="30">
    <w:name w:val="Revision"/>
    <w:unhideWhenUsed/>
    <w:qFormat/>
    <w:uiPriority w:val="99"/>
    <w:rPr>
      <w:rFonts w:ascii="Times New Roman" w:hAnsi="Times New Roman" w:eastAsia="仿宋_GB2312" w:cstheme="minorBidi"/>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51</Pages>
  <Words>34</Words>
  <Characters>42</Characters>
  <Lines>219</Lines>
  <Paragraphs>61</Paragraphs>
  <TotalTime>159</TotalTime>
  <ScaleCrop>false</ScaleCrop>
  <LinksUpToDate>false</LinksUpToDate>
  <CharactersWithSpaces>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2025-01-10T08:19:00Z</dcterms:created>
  <dc:creator>雪峰 王</dc:creator>
  <cp:lastModifiedBy>该怎么习惯</cp:lastModifiedBy>
  <cp:lastPrinted>2025-01-10T08:20:00Z</cp:lastPrinted>
  <dcterms:modified xsi:type="dcterms:W3CDTF">2026-02-24T01:45:56Z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5A6EBD67513B4E70964D1BB0C27030AB_12</vt:lpwstr>
  </property>
  <property fmtid="{D5CDD505-2E9C-101B-9397-08002B2CF9AE}" pid="4" name="KSOTemplateDocerSaveRecord">
    <vt:lpwstr>eyJoZGlkIjoiNzIwOGU2N2RhNGYxMWIxZTM1NDc2NjZiYjRjMTNmYzIiLCJ1c2VySWQiOiIzMTk3NDg3NjAifQ==</vt:lpwstr>
  </property>
</Properties>
</file>