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C62811">
      <w:pPr>
        <w:pageBreakBefore w:val="0"/>
        <w:widowControl w:val="0"/>
        <w:kinsoku/>
        <w:wordWrap/>
        <w:overflowPunct/>
        <w:topLinePunct w:val="0"/>
        <w:autoSpaceDE/>
        <w:autoSpaceDN/>
        <w:bidi w:val="0"/>
        <w:adjustRightInd/>
        <w:snapToGrid/>
        <w:spacing w:line="590" w:lineRule="exact"/>
        <w:ind w:firstLine="420" w:firstLineChars="200"/>
        <w:textAlignment w:val="auto"/>
        <w:rPr>
          <w:rFonts w:ascii="仿宋_GB2312" w:eastAsia="仿宋_GB2312"/>
        </w:rPr>
      </w:pPr>
    </w:p>
    <w:p w14:paraId="784AA2A8">
      <w:pPr>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rPr>
      </w:pPr>
      <w:r>
        <w:rPr>
          <w:rFonts w:hint="eastAsia" w:ascii="方正小标宋_GBK" w:hAnsi="方正小标宋_GBK" w:eastAsia="方正小标宋_GBK" w:cs="方正小标宋_GBK"/>
          <w:sz w:val="44"/>
        </w:rPr>
        <w:t>铜陵市义安区人民政府关于印发铜陵市义安区“十四五”战略性新兴产业发展规划的通知</w:t>
      </w:r>
    </w:p>
    <w:p w14:paraId="52445691">
      <w:pPr>
        <w:pageBreakBefore w:val="0"/>
        <w:widowControl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义政〔</w:t>
      </w:r>
      <w:r>
        <w:rPr>
          <w:rFonts w:hint="eastAsia" w:ascii="Times New Roman" w:hAnsi="Times New Roman" w:eastAsia="仿宋_GB2312" w:cs="Times New Roman"/>
          <w:sz w:val="34"/>
          <w:szCs w:val="34"/>
        </w:rPr>
        <w:t>2022</w:t>
      </w:r>
      <w:r>
        <w:rPr>
          <w:rFonts w:hint="eastAsia" w:ascii="方正仿宋_GBK" w:hAnsi="方正仿宋_GBK" w:eastAsia="方正仿宋_GBK" w:cs="方正仿宋_GBK"/>
          <w:sz w:val="32"/>
          <w:szCs w:val="32"/>
        </w:rPr>
        <w:t>〕</w:t>
      </w:r>
      <w:r>
        <w:rPr>
          <w:rFonts w:hint="eastAsia" w:ascii="Times New Roman" w:hAnsi="Times New Roman" w:eastAsia="宋体" w:cs="Times New Roman"/>
          <w:sz w:val="34"/>
          <w:szCs w:val="34"/>
        </w:rPr>
        <w:t>5</w:t>
      </w:r>
      <w:r>
        <w:rPr>
          <w:rFonts w:hint="eastAsia" w:ascii="方正仿宋_GBK" w:hAnsi="方正仿宋_GBK" w:eastAsia="方正仿宋_GBK" w:cs="方正仿宋_GBK"/>
          <w:sz w:val="32"/>
          <w:szCs w:val="32"/>
        </w:rPr>
        <w:t>号</w:t>
      </w:r>
    </w:p>
    <w:p w14:paraId="7EB4C286">
      <w:pPr>
        <w:pageBreakBefore w:val="0"/>
        <w:widowControl w:val="0"/>
        <w:kinsoku/>
        <w:wordWrap/>
        <w:overflowPunct/>
        <w:topLinePunct w:val="0"/>
        <w:autoSpaceDE/>
        <w:autoSpaceDN/>
        <w:bidi w:val="0"/>
        <w:adjustRightInd/>
        <w:snapToGrid/>
        <w:spacing w:line="590" w:lineRule="exact"/>
        <w:textAlignment w:val="auto"/>
        <w:rPr>
          <w:rFonts w:hint="eastAsia" w:ascii="仿宋_GB2312" w:eastAsia="仿宋_GB2312"/>
          <w:sz w:val="32"/>
          <w:szCs w:val="32"/>
        </w:rPr>
      </w:pPr>
    </w:p>
    <w:p w14:paraId="3D29C882">
      <w:pPr>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各乡镇人民政府、新桥办事处，区政府各部门，各有关单位：</w:t>
      </w:r>
    </w:p>
    <w:p w14:paraId="5A388411">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经区政府同意，现将《义安区“十四五”战略性新兴产业发展规划》印发给你们，请认真贯彻执行。</w:t>
      </w:r>
    </w:p>
    <w:p w14:paraId="2D8DECBC">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p>
    <w:p w14:paraId="45C14DEA">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p>
    <w:p w14:paraId="28503E09">
      <w:pPr>
        <w:pageBreakBefore w:val="0"/>
        <w:widowControl w:val="0"/>
        <w:kinsoku/>
        <w:wordWrap/>
        <w:overflowPunct/>
        <w:topLinePunct w:val="0"/>
        <w:autoSpaceDE/>
        <w:autoSpaceDN/>
        <w:bidi w:val="0"/>
        <w:adjustRightInd/>
        <w:snapToGrid/>
        <w:spacing w:line="590" w:lineRule="exact"/>
        <w:ind w:firstLine="5120" w:firstLineChars="16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铜陵市义安区人民政府</w:t>
      </w:r>
    </w:p>
    <w:p w14:paraId="45EEFFAB">
      <w:pPr>
        <w:pageBreakBefore w:val="0"/>
        <w:widowControl w:val="0"/>
        <w:kinsoku/>
        <w:wordWrap/>
        <w:overflowPunct/>
        <w:topLinePunct w:val="0"/>
        <w:autoSpaceDE/>
        <w:autoSpaceDN/>
        <w:bidi w:val="0"/>
        <w:adjustRightInd/>
        <w:snapToGrid/>
        <w:spacing w:line="590" w:lineRule="exact"/>
        <w:ind w:firstLine="5760" w:firstLineChars="1800"/>
        <w:textAlignment w:val="auto"/>
        <w:rPr>
          <w:rFonts w:hint="eastAsia" w:ascii="方正仿宋_GBK" w:hAnsi="方正仿宋_GBK" w:eastAsia="方正仿宋_GBK" w:cs="方正仿宋_GBK"/>
          <w:sz w:val="32"/>
          <w:szCs w:val="32"/>
        </w:rPr>
      </w:pPr>
      <w:bookmarkStart w:id="108" w:name="_GoBack"/>
      <w:bookmarkEnd w:id="108"/>
      <w:r>
        <w:rPr>
          <w:rFonts w:hint="default" w:ascii="Times New Roman" w:hAnsi="Times New Roman" w:eastAsia="方正仿宋_GBK" w:cs="Times New Roman"/>
          <w:sz w:val="32"/>
          <w:szCs w:val="32"/>
        </w:rPr>
        <w:t>2022</w:t>
      </w:r>
      <w:r>
        <w:rPr>
          <w:rFonts w:hint="eastAsia" w:ascii="方正仿宋_GBK" w:hAnsi="方正仿宋_GBK" w:eastAsia="方正仿宋_GBK" w:cs="方正仿宋_GBK"/>
          <w:sz w:val="32"/>
          <w:szCs w:val="32"/>
        </w:rPr>
        <w:t>年</w:t>
      </w:r>
      <w:r>
        <w:rPr>
          <w:rFonts w:hint="default"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月</w:t>
      </w:r>
      <w:r>
        <w:rPr>
          <w:rFonts w:hint="default"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日</w:t>
      </w:r>
    </w:p>
    <w:p w14:paraId="55E1E934">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19FABB01">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76CCB068">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0E77E57A">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504D1622">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383422E4">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0FF1BEA7">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5553F171">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21F3EE7D">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554FE149">
      <w:pPr>
        <w:pageBreakBefore w:val="0"/>
        <w:widowControl w:val="0"/>
        <w:kinsoku/>
        <w:wordWrap/>
        <w:overflowPunct/>
        <w:topLinePunct w:val="0"/>
        <w:autoSpaceDE/>
        <w:autoSpaceDN/>
        <w:bidi w:val="0"/>
        <w:adjustRightInd/>
        <w:snapToGrid/>
        <w:spacing w:line="590" w:lineRule="exact"/>
        <w:jc w:val="center"/>
        <w:textAlignment w:val="auto"/>
        <w:rPr>
          <w:rFonts w:ascii="方正小标宋简体" w:eastAsia="方正小标宋简体"/>
          <w:sz w:val="44"/>
        </w:rPr>
      </w:pPr>
    </w:p>
    <w:p w14:paraId="47DD3421">
      <w:pPr>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pacing w:val="20"/>
          <w:sz w:val="44"/>
          <w:szCs w:val="44"/>
        </w:rPr>
      </w:pPr>
      <w:r>
        <w:rPr>
          <w:rFonts w:hint="eastAsia" w:ascii="方正小标宋_GBK" w:hAnsi="方正小标宋_GBK" w:eastAsia="方正小标宋_GBK" w:cs="方正小标宋_GBK"/>
          <w:spacing w:val="20"/>
          <w:sz w:val="44"/>
          <w:szCs w:val="44"/>
        </w:rPr>
        <w:t>义安区“十四五”战略性新兴产业</w:t>
      </w:r>
    </w:p>
    <w:p w14:paraId="0C25A93D">
      <w:pPr>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pacing w:val="20"/>
          <w:sz w:val="44"/>
          <w:szCs w:val="44"/>
        </w:rPr>
      </w:pPr>
      <w:r>
        <w:rPr>
          <w:rFonts w:hint="eastAsia" w:ascii="方正小标宋_GBK" w:hAnsi="方正小标宋_GBK" w:eastAsia="方正小标宋_GBK" w:cs="方正小标宋_GBK"/>
          <w:spacing w:val="20"/>
          <w:sz w:val="44"/>
          <w:szCs w:val="44"/>
        </w:rPr>
        <w:t>发展规划</w:t>
      </w:r>
    </w:p>
    <w:p w14:paraId="1BDA3512">
      <w:pPr>
        <w:pageBreakBefore w:val="0"/>
        <w:widowControl w:val="0"/>
        <w:kinsoku/>
        <w:wordWrap/>
        <w:overflowPunct/>
        <w:topLinePunct w:val="0"/>
        <w:autoSpaceDE/>
        <w:autoSpaceDN/>
        <w:bidi w:val="0"/>
        <w:adjustRightInd/>
        <w:snapToGrid/>
        <w:spacing w:line="590" w:lineRule="exact"/>
        <w:ind w:firstLine="880" w:firstLineChars="200"/>
        <w:textAlignment w:val="auto"/>
        <w:rPr>
          <w:rFonts w:ascii="方正小标宋简体" w:eastAsia="方正小标宋简体"/>
          <w:sz w:val="44"/>
        </w:rPr>
      </w:pPr>
    </w:p>
    <w:p w14:paraId="1D32B7F3">
      <w:pPr>
        <w:pStyle w:val="3"/>
        <w:pageBreakBefore w:val="0"/>
        <w:widowControl w:val="0"/>
        <w:kinsoku/>
        <w:wordWrap/>
        <w:overflowPunct/>
        <w:topLinePunct w:val="0"/>
        <w:autoSpaceDE/>
        <w:autoSpaceDN/>
        <w:bidi w:val="0"/>
        <w:adjustRightInd/>
        <w:snapToGrid/>
        <w:spacing w:line="590" w:lineRule="exact"/>
        <w:textAlignment w:val="auto"/>
      </w:pPr>
    </w:p>
    <w:p w14:paraId="3C506C81">
      <w:pPr>
        <w:pageBreakBefore w:val="0"/>
        <w:widowControl w:val="0"/>
        <w:kinsoku/>
        <w:wordWrap/>
        <w:overflowPunct/>
        <w:topLinePunct w:val="0"/>
        <w:autoSpaceDE/>
        <w:autoSpaceDN/>
        <w:bidi w:val="0"/>
        <w:adjustRightInd/>
        <w:snapToGrid/>
        <w:spacing w:line="590" w:lineRule="exact"/>
        <w:ind w:firstLine="420" w:firstLineChars="200"/>
        <w:textAlignment w:val="auto"/>
        <w:rPr>
          <w:rFonts w:ascii="仿宋_GB2312" w:eastAsia="仿宋_GB2312"/>
        </w:rPr>
      </w:pPr>
    </w:p>
    <w:p w14:paraId="745F665B">
      <w:pPr>
        <w:pageBreakBefore w:val="0"/>
        <w:widowControl w:val="0"/>
        <w:kinsoku/>
        <w:wordWrap/>
        <w:overflowPunct/>
        <w:topLinePunct w:val="0"/>
        <w:autoSpaceDE/>
        <w:autoSpaceDN/>
        <w:bidi w:val="0"/>
        <w:adjustRightInd/>
        <w:snapToGrid/>
        <w:spacing w:line="590" w:lineRule="exact"/>
        <w:ind w:firstLine="420" w:firstLineChars="200"/>
        <w:textAlignment w:val="auto"/>
        <w:rPr>
          <w:rFonts w:ascii="仿宋_GB2312" w:eastAsia="仿宋_GB2312"/>
        </w:rPr>
      </w:pPr>
    </w:p>
    <w:p w14:paraId="0AE69491">
      <w:pPr>
        <w:pageBreakBefore w:val="0"/>
        <w:widowControl w:val="0"/>
        <w:kinsoku/>
        <w:wordWrap/>
        <w:overflowPunct/>
        <w:topLinePunct w:val="0"/>
        <w:autoSpaceDE/>
        <w:autoSpaceDN/>
        <w:bidi w:val="0"/>
        <w:adjustRightInd/>
        <w:snapToGrid/>
        <w:spacing w:line="590" w:lineRule="exact"/>
        <w:ind w:firstLine="420" w:firstLineChars="200"/>
        <w:textAlignment w:val="auto"/>
        <w:rPr>
          <w:rFonts w:ascii="仿宋_GB2312" w:eastAsia="仿宋_GB2312"/>
        </w:rPr>
      </w:pPr>
    </w:p>
    <w:p w14:paraId="4ADE3A8B">
      <w:pPr>
        <w:pageBreakBefore w:val="0"/>
        <w:widowControl w:val="0"/>
        <w:kinsoku/>
        <w:wordWrap/>
        <w:overflowPunct/>
        <w:topLinePunct w:val="0"/>
        <w:autoSpaceDE/>
        <w:autoSpaceDN/>
        <w:bidi w:val="0"/>
        <w:adjustRightInd/>
        <w:snapToGrid/>
        <w:spacing w:line="590" w:lineRule="exact"/>
        <w:ind w:firstLine="420" w:firstLineChars="200"/>
        <w:textAlignment w:val="auto"/>
        <w:rPr>
          <w:rFonts w:ascii="仿宋_GB2312" w:eastAsia="仿宋_GB2312"/>
        </w:rPr>
      </w:pPr>
    </w:p>
    <w:p w14:paraId="4A78C55B">
      <w:pPr>
        <w:pageBreakBefore w:val="0"/>
        <w:widowControl w:val="0"/>
        <w:kinsoku/>
        <w:wordWrap/>
        <w:overflowPunct/>
        <w:topLinePunct w:val="0"/>
        <w:autoSpaceDE/>
        <w:autoSpaceDN/>
        <w:bidi w:val="0"/>
        <w:adjustRightInd/>
        <w:snapToGrid/>
        <w:spacing w:line="590" w:lineRule="exact"/>
        <w:ind w:firstLine="420" w:firstLineChars="200"/>
        <w:textAlignment w:val="auto"/>
        <w:rPr>
          <w:rFonts w:ascii="仿宋_GB2312" w:eastAsia="仿宋_GB2312"/>
        </w:rPr>
      </w:pPr>
    </w:p>
    <w:p w14:paraId="16380C41">
      <w:pPr>
        <w:pageBreakBefore w:val="0"/>
        <w:widowControl w:val="0"/>
        <w:kinsoku/>
        <w:wordWrap/>
        <w:overflowPunct/>
        <w:topLinePunct w:val="0"/>
        <w:autoSpaceDE/>
        <w:autoSpaceDN/>
        <w:bidi w:val="0"/>
        <w:adjustRightInd/>
        <w:snapToGrid/>
        <w:spacing w:line="590" w:lineRule="exact"/>
        <w:ind w:firstLine="420" w:firstLineChars="200"/>
        <w:textAlignment w:val="auto"/>
        <w:rPr>
          <w:rFonts w:ascii="仿宋_GB2312" w:eastAsia="仿宋_GB2312"/>
        </w:rPr>
      </w:pPr>
    </w:p>
    <w:p w14:paraId="7F3AC511">
      <w:pPr>
        <w:pageBreakBefore w:val="0"/>
        <w:widowControl w:val="0"/>
        <w:kinsoku/>
        <w:wordWrap/>
        <w:overflowPunct/>
        <w:topLinePunct w:val="0"/>
        <w:autoSpaceDE/>
        <w:autoSpaceDN/>
        <w:bidi w:val="0"/>
        <w:adjustRightInd/>
        <w:snapToGrid/>
        <w:spacing w:line="590" w:lineRule="exact"/>
        <w:ind w:firstLine="420" w:firstLineChars="200"/>
        <w:textAlignment w:val="auto"/>
        <w:rPr>
          <w:rFonts w:ascii="仿宋_GB2312" w:eastAsia="仿宋_GB2312"/>
        </w:rPr>
      </w:pPr>
    </w:p>
    <w:p w14:paraId="0CA72ADE">
      <w:pPr>
        <w:pageBreakBefore w:val="0"/>
        <w:widowControl w:val="0"/>
        <w:kinsoku/>
        <w:wordWrap/>
        <w:overflowPunct/>
        <w:topLinePunct w:val="0"/>
        <w:autoSpaceDE/>
        <w:autoSpaceDN/>
        <w:bidi w:val="0"/>
        <w:adjustRightInd/>
        <w:snapToGrid/>
        <w:spacing w:line="590" w:lineRule="exact"/>
        <w:ind w:firstLine="420" w:firstLineChars="200"/>
        <w:textAlignment w:val="auto"/>
        <w:rPr>
          <w:rFonts w:ascii="仿宋_GB2312" w:eastAsia="仿宋_GB2312"/>
        </w:rPr>
      </w:pPr>
    </w:p>
    <w:p w14:paraId="04244CB6">
      <w:pPr>
        <w:pageBreakBefore w:val="0"/>
        <w:widowControl w:val="0"/>
        <w:kinsoku/>
        <w:wordWrap/>
        <w:overflowPunct/>
        <w:topLinePunct w:val="0"/>
        <w:autoSpaceDE/>
        <w:autoSpaceDN/>
        <w:bidi w:val="0"/>
        <w:adjustRightInd/>
        <w:snapToGrid/>
        <w:spacing w:line="590" w:lineRule="exact"/>
        <w:ind w:firstLine="420" w:firstLineChars="200"/>
        <w:textAlignment w:val="auto"/>
        <w:rPr>
          <w:rFonts w:ascii="仿宋_GB2312" w:eastAsia="仿宋_GB2312"/>
        </w:rPr>
      </w:pPr>
    </w:p>
    <w:p w14:paraId="7F9F8F38">
      <w:pPr>
        <w:pageBreakBefore w:val="0"/>
        <w:widowControl w:val="0"/>
        <w:kinsoku/>
        <w:wordWrap/>
        <w:overflowPunct/>
        <w:topLinePunct w:val="0"/>
        <w:autoSpaceDE/>
        <w:autoSpaceDN/>
        <w:bidi w:val="0"/>
        <w:adjustRightInd/>
        <w:snapToGrid/>
        <w:spacing w:line="590" w:lineRule="exact"/>
        <w:ind w:firstLine="420" w:firstLineChars="200"/>
        <w:textAlignment w:val="auto"/>
        <w:rPr>
          <w:rFonts w:ascii="仿宋_GB2312" w:eastAsia="仿宋_GB2312"/>
        </w:rPr>
      </w:pPr>
    </w:p>
    <w:p w14:paraId="274664E3">
      <w:pPr>
        <w:pageBreakBefore w:val="0"/>
        <w:widowControl w:val="0"/>
        <w:kinsoku/>
        <w:wordWrap/>
        <w:overflowPunct/>
        <w:topLinePunct w:val="0"/>
        <w:autoSpaceDE/>
        <w:autoSpaceDN/>
        <w:bidi w:val="0"/>
        <w:adjustRightInd/>
        <w:snapToGrid/>
        <w:spacing w:line="590" w:lineRule="exact"/>
        <w:ind w:firstLine="420" w:firstLineChars="200"/>
        <w:textAlignment w:val="auto"/>
        <w:rPr>
          <w:rFonts w:ascii="仿宋_GB2312" w:eastAsia="仿宋_GB2312"/>
        </w:rPr>
      </w:pPr>
    </w:p>
    <w:p w14:paraId="52991096">
      <w:pPr>
        <w:pageBreakBefore w:val="0"/>
        <w:widowControl w:val="0"/>
        <w:kinsoku/>
        <w:wordWrap/>
        <w:overflowPunct/>
        <w:topLinePunct w:val="0"/>
        <w:autoSpaceDE/>
        <w:autoSpaceDN/>
        <w:bidi w:val="0"/>
        <w:adjustRightInd/>
        <w:snapToGrid/>
        <w:spacing w:line="590" w:lineRule="exact"/>
        <w:ind w:firstLine="420" w:firstLineChars="200"/>
        <w:textAlignment w:val="auto"/>
        <w:rPr>
          <w:rFonts w:ascii="仿宋_GB2312" w:eastAsia="仿宋_GB2312"/>
        </w:rPr>
      </w:pPr>
    </w:p>
    <w:p w14:paraId="749D2BE0">
      <w:pPr>
        <w:pageBreakBefore w:val="0"/>
        <w:widowControl w:val="0"/>
        <w:kinsoku/>
        <w:wordWrap/>
        <w:overflowPunct/>
        <w:topLinePunct w:val="0"/>
        <w:autoSpaceDE/>
        <w:autoSpaceDN/>
        <w:bidi w:val="0"/>
        <w:adjustRightInd/>
        <w:snapToGrid/>
        <w:spacing w:line="590" w:lineRule="exact"/>
        <w:ind w:firstLine="420" w:firstLineChars="200"/>
        <w:textAlignment w:val="auto"/>
        <w:rPr>
          <w:rFonts w:ascii="仿宋_GB2312" w:eastAsia="仿宋_GB2312"/>
        </w:rPr>
      </w:pPr>
    </w:p>
    <w:p w14:paraId="7DCF4D22">
      <w:pPr>
        <w:pageBreakBefore w:val="0"/>
        <w:widowControl w:val="0"/>
        <w:kinsoku/>
        <w:wordWrap/>
        <w:overflowPunct/>
        <w:topLinePunct w:val="0"/>
        <w:autoSpaceDE/>
        <w:autoSpaceDN/>
        <w:bidi w:val="0"/>
        <w:adjustRightInd/>
        <w:snapToGrid/>
        <w:spacing w:line="590" w:lineRule="exact"/>
        <w:ind w:firstLine="720" w:firstLineChars="200"/>
        <w:jc w:val="center"/>
        <w:textAlignment w:val="auto"/>
        <w:rPr>
          <w:rFonts w:ascii="仿宋_GB2312" w:eastAsia="楷体_GB2312"/>
          <w:sz w:val="36"/>
          <w:szCs w:val="36"/>
        </w:rPr>
      </w:pPr>
      <w:r>
        <w:rPr>
          <w:rFonts w:hint="eastAsia" w:ascii="仿宋_GB2312" w:eastAsia="楷体_GB2312"/>
          <w:sz w:val="36"/>
          <w:szCs w:val="36"/>
        </w:rPr>
        <w:t>二</w:t>
      </w:r>
      <w:r>
        <w:rPr>
          <w:rFonts w:hint="eastAsia" w:ascii="宋体" w:hAnsi="宋体" w:cs="宋体"/>
          <w:sz w:val="36"/>
          <w:szCs w:val="36"/>
        </w:rPr>
        <w:t>〇</w:t>
      </w:r>
      <w:r>
        <w:rPr>
          <w:rFonts w:hint="eastAsia" w:ascii="仿宋_GB2312" w:hAnsi="仿宋_GB2312" w:eastAsia="楷体_GB2312" w:cs="仿宋_GB2312"/>
          <w:sz w:val="36"/>
          <w:szCs w:val="36"/>
        </w:rPr>
        <w:t>二二</w:t>
      </w:r>
      <w:r>
        <w:rPr>
          <w:rFonts w:ascii="仿宋_GB2312" w:eastAsia="楷体_GB2312"/>
          <w:sz w:val="36"/>
          <w:szCs w:val="36"/>
        </w:rPr>
        <w:t>年</w:t>
      </w:r>
      <w:r>
        <w:rPr>
          <w:rFonts w:hint="eastAsia" w:ascii="仿宋_GB2312" w:eastAsia="楷体_GB2312"/>
          <w:sz w:val="36"/>
          <w:szCs w:val="36"/>
        </w:rPr>
        <w:t>三</w:t>
      </w:r>
      <w:r>
        <w:rPr>
          <w:rFonts w:ascii="仿宋_GB2312" w:eastAsia="楷体_GB2312"/>
          <w:sz w:val="36"/>
          <w:szCs w:val="36"/>
        </w:rPr>
        <w:t>月</w:t>
      </w:r>
    </w:p>
    <w:p w14:paraId="4DF002A9">
      <w:pPr>
        <w:pageBreakBefore w:val="0"/>
        <w:widowControl w:val="0"/>
        <w:kinsoku/>
        <w:wordWrap/>
        <w:overflowPunct/>
        <w:topLinePunct w:val="0"/>
        <w:autoSpaceDE/>
        <w:autoSpaceDN/>
        <w:bidi w:val="0"/>
        <w:adjustRightInd/>
        <w:snapToGrid/>
        <w:spacing w:line="590" w:lineRule="exact"/>
        <w:ind w:firstLine="720" w:firstLineChars="200"/>
        <w:jc w:val="center"/>
        <w:textAlignment w:val="auto"/>
        <w:rPr>
          <w:rFonts w:ascii="仿宋_GB2312" w:eastAsia="楷体_GB2312"/>
          <w:sz w:val="36"/>
          <w:szCs w:val="36"/>
        </w:rPr>
      </w:pPr>
    </w:p>
    <w:p w14:paraId="0BA2E224">
      <w:pPr>
        <w:pageBreakBefore w:val="0"/>
        <w:widowControl w:val="0"/>
        <w:kinsoku/>
        <w:wordWrap/>
        <w:overflowPunct/>
        <w:topLinePunct w:val="0"/>
        <w:autoSpaceDE/>
        <w:autoSpaceDN/>
        <w:bidi w:val="0"/>
        <w:adjustRightInd/>
        <w:snapToGrid/>
        <w:spacing w:line="590" w:lineRule="exact"/>
        <w:ind w:firstLine="720" w:firstLineChars="200"/>
        <w:jc w:val="center"/>
        <w:textAlignment w:val="auto"/>
        <w:rPr>
          <w:rFonts w:ascii="仿宋_GB2312" w:eastAsia="楷体_GB2312"/>
          <w:sz w:val="36"/>
          <w:szCs w:val="36"/>
        </w:rPr>
      </w:pPr>
    </w:p>
    <w:p w14:paraId="1B8A9BD8">
      <w:pPr>
        <w:pageBreakBefore w:val="0"/>
        <w:widowControl w:val="0"/>
        <w:kinsoku/>
        <w:wordWrap/>
        <w:overflowPunct/>
        <w:topLinePunct w:val="0"/>
        <w:autoSpaceDE/>
        <w:autoSpaceDN/>
        <w:bidi w:val="0"/>
        <w:adjustRightInd/>
        <w:snapToGrid/>
        <w:spacing w:line="590" w:lineRule="exact"/>
        <w:jc w:val="center"/>
        <w:textAlignment w:val="auto"/>
        <w:rPr>
          <w:rFonts w:ascii="Times New Roman" w:hAnsi="Times New Roman" w:eastAsia="黑体" w:cs="Times New Roman"/>
          <w:b/>
          <w:bCs/>
          <w:color w:val="000000" w:themeColor="text1"/>
          <w:sz w:val="40"/>
          <w:szCs w:val="36"/>
          <w14:textFill>
            <w14:solidFill>
              <w14:schemeClr w14:val="tx1"/>
            </w14:solidFill>
          </w14:textFill>
        </w:rPr>
      </w:pPr>
      <w:r>
        <w:rPr>
          <w:rFonts w:hint="eastAsia" w:ascii="方正黑体_GBK" w:hAnsi="方正黑体_GBK" w:eastAsia="方正黑体_GBK" w:cs="方正黑体_GBK"/>
          <w:b w:val="0"/>
          <w:bCs w:val="0"/>
          <w:color w:val="000000" w:themeColor="text1"/>
          <w:sz w:val="44"/>
          <w:szCs w:val="44"/>
          <w14:textFill>
            <w14:solidFill>
              <w14:schemeClr w14:val="tx1"/>
            </w14:solidFill>
          </w14:textFill>
        </w:rPr>
        <w:t>目  录</w:t>
      </w:r>
    </w:p>
    <w:p w14:paraId="2F896C2F">
      <w:pPr>
        <w:pStyle w:val="11"/>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rPr>
          <w:rFonts w:ascii="Times New Roman" w:hAnsi="Times New Roman" w:cs="Times New Roman"/>
          <w:color w:val="000000" w:themeColor="text1"/>
          <w:sz w:val="32"/>
          <w:szCs w:val="32"/>
          <w14:textFill>
            <w14:solidFill>
              <w14:schemeClr w14:val="tx1"/>
            </w14:solidFill>
          </w14:textFill>
        </w:rPr>
        <w:fldChar w:fldCharType="begin"/>
      </w:r>
      <w:r>
        <w:rPr>
          <w:rFonts w:ascii="Times New Roman" w:hAnsi="Times New Roman" w:cs="Times New Roman"/>
          <w:color w:val="000000" w:themeColor="text1"/>
          <w:sz w:val="32"/>
          <w:szCs w:val="32"/>
          <w14:textFill>
            <w14:solidFill>
              <w14:schemeClr w14:val="tx1"/>
            </w14:solidFill>
          </w14:textFill>
        </w:rPr>
        <w:instrText xml:space="preserve"> TOC \o "1-2" \h \z \u </w:instrText>
      </w:r>
      <w:r>
        <w:rPr>
          <w:rFonts w:ascii="Times New Roman" w:hAnsi="Times New Roman" w:cs="Times New Roman"/>
          <w:color w:val="000000" w:themeColor="text1"/>
          <w:sz w:val="32"/>
          <w:szCs w:val="32"/>
          <w14:textFill>
            <w14:solidFill>
              <w14:schemeClr w14:val="tx1"/>
            </w14:solidFill>
          </w14:textFill>
        </w:rPr>
        <w:fldChar w:fldCharType="separate"/>
      </w:r>
      <w:r>
        <w:rPr>
          <w:rFonts w:hint="eastAsia" w:ascii="方正黑体_GBK" w:hAnsi="方正黑体_GBK" w:eastAsia="方正黑体_GBK" w:cs="方正黑体_GBK"/>
        </w:rPr>
        <w:fldChar w:fldCharType="begin"/>
      </w:r>
      <w:r>
        <w:rPr>
          <w:rFonts w:hint="eastAsia" w:ascii="方正黑体_GBK" w:hAnsi="方正黑体_GBK" w:eastAsia="方正黑体_GBK" w:cs="方正黑体_GBK"/>
        </w:rPr>
        <w:instrText xml:space="preserve"> HYPERLINK \l "_Toc27412" </w:instrText>
      </w:r>
      <w:r>
        <w:rPr>
          <w:rFonts w:hint="eastAsia" w:ascii="方正黑体_GBK" w:hAnsi="方正黑体_GBK" w:eastAsia="方正黑体_GBK" w:cs="方正黑体_GBK"/>
        </w:rPr>
        <w:fldChar w:fldCharType="separate"/>
      </w:r>
      <w:r>
        <w:rPr>
          <w:rFonts w:hint="eastAsia" w:ascii="方正黑体_GBK" w:hAnsi="方正黑体_GBK" w:eastAsia="方正黑体_GBK" w:cs="方正黑体_GBK"/>
          <w:sz w:val="32"/>
          <w:szCs w:val="32"/>
        </w:rPr>
        <w:t>第</w:t>
      </w:r>
      <w:r>
        <w:rPr>
          <w:rFonts w:hint="eastAsia" w:ascii="方正黑体_GBK" w:hAnsi="方正黑体_GBK" w:eastAsia="方正黑体_GBK" w:cs="方正黑体_GBK"/>
          <w:sz w:val="32"/>
          <w:szCs w:val="32"/>
        </w:rPr>
        <w:t xml:space="preserve">一章 </w:t>
      </w:r>
      <w:r>
        <w:rPr>
          <w:rFonts w:hint="eastAsia" w:ascii="方正黑体_GBK" w:hAnsi="方正黑体_GBK" w:eastAsia="方正黑体_GBK" w:cs="方正黑体_GBK"/>
          <w:sz w:val="32"/>
          <w:szCs w:val="32"/>
        </w:rPr>
        <w:t>发展基础与环境</w:t>
      </w:r>
      <w:r>
        <w:rPr>
          <w:rFonts w:hint="eastAsia" w:ascii="方正黑体_GBK" w:hAnsi="方正黑体_GBK" w:eastAsia="方正黑体_GBK" w:cs="方正黑体_GBK"/>
          <w:sz w:val="32"/>
          <w:szCs w:val="32"/>
        </w:rPr>
        <w:tab/>
      </w:r>
      <w:r>
        <w:rPr>
          <w:rFonts w:hint="default" w:ascii="Times New Roman" w:hAnsi="Times New Roman" w:eastAsia="方正黑体_GBK" w:cs="Times New Roman"/>
          <w:sz w:val="32"/>
          <w:szCs w:val="32"/>
        </w:rPr>
        <w:fldChar w:fldCharType="begin"/>
      </w:r>
      <w:r>
        <w:rPr>
          <w:rFonts w:hint="default" w:ascii="Times New Roman" w:hAnsi="Times New Roman" w:eastAsia="方正黑体_GBK" w:cs="Times New Roman"/>
          <w:sz w:val="32"/>
          <w:szCs w:val="32"/>
        </w:rPr>
        <w:instrText xml:space="preserve"> PAGEREF _Toc27412 \h </w:instrText>
      </w:r>
      <w:r>
        <w:rPr>
          <w:rFonts w:hint="default" w:ascii="Times New Roman" w:hAnsi="Times New Roman" w:eastAsia="方正黑体_GBK" w:cs="Times New Roman"/>
          <w:sz w:val="32"/>
          <w:szCs w:val="32"/>
        </w:rPr>
        <w:fldChar w:fldCharType="separate"/>
      </w:r>
      <w:r>
        <w:rPr>
          <w:rFonts w:hint="default" w:ascii="Times New Roman" w:hAnsi="Times New Roman" w:eastAsia="方正黑体_GBK" w:cs="Times New Roman"/>
          <w:sz w:val="32"/>
          <w:szCs w:val="32"/>
        </w:rPr>
        <w:t>2</w:t>
      </w:r>
      <w:r>
        <w:rPr>
          <w:rFonts w:hint="default" w:ascii="Times New Roman" w:hAnsi="Times New Roman" w:eastAsia="方正黑体_GBK" w:cs="Times New Roman"/>
          <w:sz w:val="32"/>
          <w:szCs w:val="32"/>
        </w:rPr>
        <w:fldChar w:fldCharType="end"/>
      </w:r>
      <w:r>
        <w:rPr>
          <w:rFonts w:hint="eastAsia" w:ascii="方正黑体_GBK" w:hAnsi="方正黑体_GBK" w:eastAsia="方正黑体_GBK" w:cs="方正黑体_GBK"/>
          <w:sz w:val="32"/>
          <w:szCs w:val="32"/>
        </w:rPr>
        <w:fldChar w:fldCharType="end"/>
      </w:r>
    </w:p>
    <w:p w14:paraId="46082230">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"_Toc32275" </w:instrText>
      </w:r>
      <w:r>
        <w:fldChar w:fldCharType="separate"/>
      </w:r>
      <w:r>
        <w:rPr>
          <w:rFonts w:hint="eastAsia" w:ascii="方正楷体_GBK" w:hAnsi="方正楷体_GBK" w:eastAsia="方正楷体_GBK" w:cs="方正楷体_GBK"/>
          <w:sz w:val="32"/>
          <w:szCs w:val="32"/>
        </w:rPr>
        <w:t>第一节 发展基础</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_Toc32275 \h </w:instrText>
      </w:r>
      <w:r>
        <w:rPr>
          <w:rFonts w:ascii="Times New Roman" w:hAnsi="Times New Roman" w:cs="Times New Roman"/>
          <w:sz w:val="32"/>
          <w:szCs w:val="32"/>
        </w:rPr>
        <w:fldChar w:fldCharType="separate"/>
      </w:r>
      <w:r>
        <w:rPr>
          <w:rFonts w:ascii="Times New Roman" w:hAnsi="Times New Roman" w:cs="Times New Roman"/>
          <w:sz w:val="32"/>
          <w:szCs w:val="32"/>
        </w:rPr>
        <w:t>2</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4114607B">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"_Toc9168" </w:instrText>
      </w:r>
      <w:r>
        <w:fldChar w:fldCharType="separate"/>
      </w:r>
      <w:r>
        <w:rPr>
          <w:rFonts w:hint="eastAsia" w:ascii="方正楷体_GBK" w:hAnsi="方正楷体_GBK" w:eastAsia="方正楷体_GBK" w:cs="方正楷体_GBK"/>
          <w:sz w:val="32"/>
          <w:szCs w:val="32"/>
        </w:rPr>
        <w:t>第二节 发展形势</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_Toc9168 \h </w:instrText>
      </w:r>
      <w:r>
        <w:rPr>
          <w:rFonts w:ascii="Times New Roman" w:hAnsi="Times New Roman" w:cs="Times New Roman"/>
          <w:sz w:val="32"/>
          <w:szCs w:val="32"/>
        </w:rPr>
        <w:fldChar w:fldCharType="separate"/>
      </w:r>
      <w:r>
        <w:rPr>
          <w:rFonts w:ascii="Times New Roman" w:hAnsi="Times New Roman" w:cs="Times New Roman"/>
          <w:sz w:val="32"/>
          <w:szCs w:val="32"/>
        </w:rPr>
        <w:t>5</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45C62EBE">
      <w:pPr>
        <w:pStyle w:val="11"/>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"_Toc19673" </w:instrText>
      </w:r>
      <w:r>
        <w:fldChar w:fldCharType="separate"/>
      </w:r>
      <w:r>
        <w:rPr>
          <w:rFonts w:hint="eastAsia" w:ascii="方正黑体_GBK" w:hAnsi="方正黑体_GBK" w:eastAsia="方正黑体_GBK" w:cs="方正黑体_GBK"/>
          <w:sz w:val="32"/>
          <w:szCs w:val="32"/>
        </w:rPr>
        <w:t>第二章 总体思路</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_Toc19673 \h </w:instrText>
      </w:r>
      <w:r>
        <w:rPr>
          <w:rFonts w:ascii="Times New Roman" w:hAnsi="Times New Roman" w:cs="Times New Roman"/>
          <w:sz w:val="32"/>
          <w:szCs w:val="32"/>
        </w:rPr>
        <w:fldChar w:fldCharType="separate"/>
      </w:r>
      <w:r>
        <w:rPr>
          <w:rFonts w:ascii="Times New Roman" w:hAnsi="Times New Roman" w:cs="Times New Roman"/>
          <w:sz w:val="32"/>
          <w:szCs w:val="32"/>
        </w:rPr>
        <w:t>8</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5EFC039E">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"_Toc8112" </w:instrText>
      </w:r>
      <w:r>
        <w:fldChar w:fldCharType="separate"/>
      </w:r>
      <w:r>
        <w:rPr>
          <w:rFonts w:hint="eastAsia" w:ascii="方正楷体_GBK" w:hAnsi="方正楷体_GBK" w:eastAsia="方正楷体_GBK" w:cs="方正楷体_GBK"/>
          <w:sz w:val="32"/>
          <w:szCs w:val="32"/>
        </w:rPr>
        <w:t>第一节 指导思想</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_Toc8112 \h </w:instrText>
      </w:r>
      <w:r>
        <w:rPr>
          <w:rFonts w:ascii="Times New Roman" w:hAnsi="Times New Roman" w:cs="Times New Roman"/>
          <w:sz w:val="32"/>
          <w:szCs w:val="32"/>
        </w:rPr>
        <w:fldChar w:fldCharType="separate"/>
      </w:r>
      <w:r>
        <w:rPr>
          <w:rFonts w:ascii="Times New Roman" w:hAnsi="Times New Roman" w:cs="Times New Roman"/>
          <w:sz w:val="32"/>
          <w:szCs w:val="32"/>
        </w:rPr>
        <w:t>8</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0523A104">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"_Toc10054" </w:instrText>
      </w:r>
      <w:r>
        <w:fldChar w:fldCharType="separate"/>
      </w:r>
      <w:r>
        <w:rPr>
          <w:rFonts w:hint="eastAsia" w:ascii="方正楷体_GBK" w:hAnsi="方正楷体_GBK" w:eastAsia="方正楷体_GBK" w:cs="方正楷体_GBK"/>
          <w:sz w:val="32"/>
          <w:szCs w:val="32"/>
        </w:rPr>
        <w:t>第二节 发展目标</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_Toc10054 \h </w:instrText>
      </w:r>
      <w:r>
        <w:rPr>
          <w:rFonts w:ascii="Times New Roman" w:hAnsi="Times New Roman" w:cs="Times New Roman"/>
          <w:sz w:val="32"/>
          <w:szCs w:val="32"/>
        </w:rPr>
        <w:fldChar w:fldCharType="separate"/>
      </w:r>
      <w:r>
        <w:rPr>
          <w:rFonts w:ascii="Times New Roman" w:hAnsi="Times New Roman" w:cs="Times New Roman"/>
          <w:sz w:val="32"/>
          <w:szCs w:val="32"/>
        </w:rPr>
        <w:t>9</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42E4B70C">
      <w:pPr>
        <w:pStyle w:val="11"/>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"_Toc4707" </w:instrText>
      </w:r>
      <w:r>
        <w:fldChar w:fldCharType="separate"/>
      </w:r>
      <w:r>
        <w:rPr>
          <w:rFonts w:hint="eastAsia" w:ascii="方正黑体_GBK" w:hAnsi="方正黑体_GBK" w:eastAsia="方正黑体_GBK" w:cs="方正黑体_GBK"/>
          <w:sz w:val="32"/>
          <w:szCs w:val="32"/>
        </w:rPr>
        <w:t>第三章 重点领域</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_Toc4707 \h </w:instrText>
      </w:r>
      <w:r>
        <w:rPr>
          <w:rFonts w:ascii="Times New Roman" w:hAnsi="Times New Roman" w:cs="Times New Roman"/>
          <w:sz w:val="32"/>
          <w:szCs w:val="32"/>
        </w:rPr>
        <w:fldChar w:fldCharType="separate"/>
      </w:r>
      <w:r>
        <w:rPr>
          <w:rFonts w:ascii="Times New Roman" w:hAnsi="Times New Roman" w:cs="Times New Roman"/>
          <w:sz w:val="32"/>
          <w:szCs w:val="32"/>
        </w:rPr>
        <w:t>10</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5B4F21B9">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"_Toc1246" </w:instrText>
      </w:r>
      <w:r>
        <w:fldChar w:fldCharType="separate"/>
      </w:r>
      <w:r>
        <w:rPr>
          <w:rFonts w:hint="eastAsia" w:ascii="方正楷体_GBK" w:hAnsi="方正楷体_GBK" w:eastAsia="方正楷体_GBK" w:cs="方正楷体_GBK"/>
          <w:sz w:val="32"/>
          <w:szCs w:val="32"/>
        </w:rPr>
        <w:t>第一节 集聚发展新材料首位产业</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_Toc1246 \h </w:instrText>
      </w:r>
      <w:r>
        <w:rPr>
          <w:rFonts w:ascii="Times New Roman" w:hAnsi="Times New Roman" w:cs="Times New Roman"/>
          <w:sz w:val="32"/>
          <w:szCs w:val="32"/>
        </w:rPr>
        <w:fldChar w:fldCharType="separate"/>
      </w:r>
      <w:r>
        <w:rPr>
          <w:rFonts w:ascii="Times New Roman" w:hAnsi="Times New Roman" w:cs="Times New Roman"/>
          <w:sz w:val="32"/>
          <w:szCs w:val="32"/>
        </w:rPr>
        <w:t>10</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05CD924C">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"_Toc9640" </w:instrText>
      </w:r>
      <w:r>
        <w:fldChar w:fldCharType="separate"/>
      </w:r>
      <w:r>
        <w:rPr>
          <w:rFonts w:hint="eastAsia" w:ascii="方正楷体_GBK" w:hAnsi="方正楷体_GBK" w:eastAsia="方正楷体_GBK" w:cs="方正楷体_GBK"/>
          <w:sz w:val="32"/>
          <w:szCs w:val="32"/>
        </w:rPr>
        <w:t>第二节 壮大发展三大支撑性产业</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_Toc9640 \h </w:instrText>
      </w:r>
      <w:r>
        <w:rPr>
          <w:rFonts w:ascii="Times New Roman" w:hAnsi="Times New Roman" w:cs="Times New Roman"/>
          <w:sz w:val="32"/>
          <w:szCs w:val="32"/>
        </w:rPr>
        <w:fldChar w:fldCharType="separate"/>
      </w:r>
      <w:r>
        <w:rPr>
          <w:rFonts w:ascii="Times New Roman" w:hAnsi="Times New Roman" w:cs="Times New Roman"/>
          <w:sz w:val="32"/>
          <w:szCs w:val="32"/>
        </w:rPr>
        <w:t>14</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3A722A27">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"_Toc24453" </w:instrText>
      </w:r>
      <w:r>
        <w:fldChar w:fldCharType="separate"/>
      </w:r>
      <w:r>
        <w:rPr>
          <w:rFonts w:hint="eastAsia" w:ascii="方正楷体_GBK" w:hAnsi="方正楷体_GBK" w:eastAsia="方正楷体_GBK" w:cs="方正楷体_GBK"/>
          <w:sz w:val="32"/>
          <w:szCs w:val="32"/>
        </w:rPr>
        <w:t>第三节 培育发展三大成长性产业</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_Toc24453 \h </w:instrText>
      </w:r>
      <w:r>
        <w:rPr>
          <w:rFonts w:ascii="Times New Roman" w:hAnsi="Times New Roman" w:cs="Times New Roman"/>
          <w:sz w:val="32"/>
          <w:szCs w:val="32"/>
        </w:rPr>
        <w:fldChar w:fldCharType="separate"/>
      </w:r>
      <w:r>
        <w:rPr>
          <w:rFonts w:ascii="Times New Roman" w:hAnsi="Times New Roman" w:cs="Times New Roman"/>
          <w:sz w:val="32"/>
          <w:szCs w:val="32"/>
        </w:rPr>
        <w:t>22</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48C7EB04">
      <w:pPr>
        <w:pStyle w:val="11"/>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"_Toc3694" </w:instrText>
      </w:r>
      <w:r>
        <w:fldChar w:fldCharType="separate"/>
      </w:r>
      <w:r>
        <w:rPr>
          <w:rFonts w:hint="eastAsia" w:ascii="方正黑体_GBK" w:hAnsi="方正黑体_GBK" w:eastAsia="方正黑体_GBK" w:cs="方正黑体_GBK"/>
          <w:sz w:val="32"/>
          <w:szCs w:val="32"/>
        </w:rPr>
        <w:t>第四章 五大行动</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_Toc3694 \h </w:instrText>
      </w:r>
      <w:r>
        <w:rPr>
          <w:rFonts w:ascii="Times New Roman" w:hAnsi="Times New Roman" w:cs="Times New Roman"/>
          <w:sz w:val="32"/>
          <w:szCs w:val="32"/>
        </w:rPr>
        <w:fldChar w:fldCharType="separate"/>
      </w:r>
      <w:r>
        <w:rPr>
          <w:rFonts w:ascii="Times New Roman" w:hAnsi="Times New Roman" w:cs="Times New Roman"/>
          <w:sz w:val="32"/>
          <w:szCs w:val="32"/>
        </w:rPr>
        <w:t>28</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388FD1EB">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"_Toc6306" </w:instrText>
      </w:r>
      <w:r>
        <w:fldChar w:fldCharType="separate"/>
      </w:r>
      <w:r>
        <w:rPr>
          <w:rFonts w:hint="eastAsia" w:ascii="方正楷体_GBK" w:hAnsi="方正楷体_GBK" w:eastAsia="方正楷体_GBK" w:cs="方正楷体_GBK"/>
          <w:sz w:val="32"/>
          <w:szCs w:val="32"/>
        </w:rPr>
        <w:t>第一节 创新引领行动</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_Toc6306 \h </w:instrText>
      </w:r>
      <w:r>
        <w:rPr>
          <w:rFonts w:ascii="Times New Roman" w:hAnsi="Times New Roman" w:cs="Times New Roman"/>
          <w:sz w:val="32"/>
          <w:szCs w:val="32"/>
        </w:rPr>
        <w:fldChar w:fldCharType="separate"/>
      </w:r>
      <w:r>
        <w:rPr>
          <w:rFonts w:ascii="Times New Roman" w:hAnsi="Times New Roman" w:cs="Times New Roman"/>
          <w:sz w:val="32"/>
          <w:szCs w:val="32"/>
        </w:rPr>
        <w:t>28</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0074F992">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"_Toc28651" </w:instrText>
      </w:r>
      <w:r>
        <w:fldChar w:fldCharType="separate"/>
      </w:r>
      <w:r>
        <w:rPr>
          <w:rFonts w:hint="eastAsia" w:ascii="方正楷体_GBK" w:hAnsi="方正楷体_GBK" w:eastAsia="方正楷体_GBK" w:cs="方正楷体_GBK"/>
          <w:sz w:val="32"/>
          <w:szCs w:val="32"/>
        </w:rPr>
        <w:t>第二节 企业培育行动</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_Toc28651 \h </w:instrText>
      </w:r>
      <w:r>
        <w:rPr>
          <w:rFonts w:ascii="Times New Roman" w:hAnsi="Times New Roman" w:cs="Times New Roman"/>
          <w:sz w:val="32"/>
          <w:szCs w:val="32"/>
        </w:rPr>
        <w:fldChar w:fldCharType="separate"/>
      </w:r>
      <w:r>
        <w:rPr>
          <w:rFonts w:ascii="Times New Roman" w:hAnsi="Times New Roman" w:cs="Times New Roman"/>
          <w:sz w:val="32"/>
          <w:szCs w:val="32"/>
        </w:rPr>
        <w:t>31</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2296F74F">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"_Toc6229" </w:instrText>
      </w:r>
      <w:r>
        <w:fldChar w:fldCharType="separate"/>
      </w:r>
      <w:r>
        <w:rPr>
          <w:rFonts w:hint="eastAsia" w:ascii="方正楷体_GBK" w:hAnsi="方正楷体_GBK" w:eastAsia="方正楷体_GBK" w:cs="方正楷体_GBK"/>
          <w:sz w:val="32"/>
          <w:szCs w:val="32"/>
        </w:rPr>
        <w:t>第三节 平台提升行动</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_Toc6229 \h </w:instrText>
      </w:r>
      <w:r>
        <w:rPr>
          <w:rFonts w:ascii="Times New Roman" w:hAnsi="Times New Roman" w:cs="Times New Roman"/>
          <w:sz w:val="32"/>
          <w:szCs w:val="32"/>
        </w:rPr>
        <w:fldChar w:fldCharType="separate"/>
      </w:r>
      <w:r>
        <w:rPr>
          <w:rFonts w:ascii="Times New Roman" w:hAnsi="Times New Roman" w:cs="Times New Roman"/>
          <w:sz w:val="32"/>
          <w:szCs w:val="32"/>
        </w:rPr>
        <w:t>34</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149A5E0E">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"_Toc9332" </w:instrText>
      </w:r>
      <w:r>
        <w:fldChar w:fldCharType="separate"/>
      </w:r>
      <w:r>
        <w:rPr>
          <w:rFonts w:hint="eastAsia" w:ascii="方正楷体_GBK" w:hAnsi="方正楷体_GBK" w:eastAsia="方正楷体_GBK" w:cs="方正楷体_GBK"/>
          <w:sz w:val="32"/>
          <w:szCs w:val="32"/>
        </w:rPr>
        <w:t>第四节 融合发展行动</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_Toc9332 \h </w:instrText>
      </w:r>
      <w:r>
        <w:rPr>
          <w:rFonts w:ascii="Times New Roman" w:hAnsi="Times New Roman" w:cs="Times New Roman"/>
          <w:sz w:val="32"/>
          <w:szCs w:val="32"/>
        </w:rPr>
        <w:fldChar w:fldCharType="separate"/>
      </w:r>
      <w:r>
        <w:rPr>
          <w:rFonts w:ascii="Times New Roman" w:hAnsi="Times New Roman" w:cs="Times New Roman"/>
          <w:sz w:val="32"/>
          <w:szCs w:val="32"/>
        </w:rPr>
        <w:t>37</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01170197">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"_Toc32624" </w:instrText>
      </w:r>
      <w:r>
        <w:fldChar w:fldCharType="separate"/>
      </w:r>
      <w:r>
        <w:rPr>
          <w:rFonts w:hint="eastAsia" w:ascii="方正楷体_GBK" w:hAnsi="方正楷体_GBK" w:eastAsia="方正楷体_GBK" w:cs="方正楷体_GBK"/>
          <w:sz w:val="32"/>
          <w:szCs w:val="32"/>
        </w:rPr>
        <w:t>第五节 开放合作行动</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_Toc32624 \h </w:instrText>
      </w:r>
      <w:r>
        <w:rPr>
          <w:rFonts w:ascii="Times New Roman" w:hAnsi="Times New Roman" w:cs="Times New Roman"/>
          <w:sz w:val="32"/>
          <w:szCs w:val="32"/>
        </w:rPr>
        <w:fldChar w:fldCharType="separate"/>
      </w:r>
      <w:r>
        <w:rPr>
          <w:rFonts w:ascii="Times New Roman" w:hAnsi="Times New Roman" w:cs="Times New Roman"/>
          <w:sz w:val="32"/>
          <w:szCs w:val="32"/>
        </w:rPr>
        <w:t>38</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6AA4A60D">
      <w:pPr>
        <w:pStyle w:val="11"/>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"_Toc545" </w:instrText>
      </w:r>
      <w:r>
        <w:fldChar w:fldCharType="separate"/>
      </w:r>
      <w:r>
        <w:rPr>
          <w:rFonts w:hint="eastAsia" w:ascii="方正黑体_GBK" w:hAnsi="方正黑体_GBK" w:eastAsia="方正黑体_GBK" w:cs="方正黑体_GBK"/>
          <w:sz w:val="32"/>
          <w:szCs w:val="32"/>
        </w:rPr>
        <w:t>第六章 保障措施</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_Toc545 \h </w:instrText>
      </w:r>
      <w:r>
        <w:rPr>
          <w:rFonts w:ascii="Times New Roman" w:hAnsi="Times New Roman" w:cs="Times New Roman"/>
          <w:sz w:val="32"/>
          <w:szCs w:val="32"/>
        </w:rPr>
        <w:fldChar w:fldCharType="separate"/>
      </w:r>
      <w:r>
        <w:rPr>
          <w:rFonts w:ascii="Times New Roman" w:hAnsi="Times New Roman" w:cs="Times New Roman"/>
          <w:sz w:val="32"/>
          <w:szCs w:val="32"/>
        </w:rPr>
        <w:t>40</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49833F04">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"_Toc18957" </w:instrText>
      </w:r>
      <w:r>
        <w:fldChar w:fldCharType="separate"/>
      </w:r>
      <w:r>
        <w:rPr>
          <w:rFonts w:hint="eastAsia" w:ascii="方正楷体_GBK" w:hAnsi="方正楷体_GBK" w:eastAsia="方正楷体_GBK" w:cs="方正楷体_GBK"/>
          <w:sz w:val="32"/>
          <w:szCs w:val="32"/>
        </w:rPr>
        <w:t>第一节 加强组织领导</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_Toc18957 \h </w:instrText>
      </w:r>
      <w:r>
        <w:rPr>
          <w:rFonts w:ascii="Times New Roman" w:hAnsi="Times New Roman" w:cs="Times New Roman"/>
          <w:sz w:val="32"/>
          <w:szCs w:val="32"/>
        </w:rPr>
        <w:fldChar w:fldCharType="separate"/>
      </w:r>
      <w:r>
        <w:rPr>
          <w:rFonts w:ascii="Times New Roman" w:hAnsi="Times New Roman" w:cs="Times New Roman"/>
          <w:sz w:val="32"/>
          <w:szCs w:val="32"/>
        </w:rPr>
        <w:t>40</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4B155492">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"_Toc8577" </w:instrText>
      </w:r>
      <w:r>
        <w:fldChar w:fldCharType="separate"/>
      </w:r>
      <w:r>
        <w:rPr>
          <w:rFonts w:hint="eastAsia" w:ascii="方正楷体_GBK" w:hAnsi="方正楷体_GBK" w:eastAsia="方正楷体_GBK" w:cs="方正楷体_GBK"/>
          <w:sz w:val="32"/>
          <w:szCs w:val="32"/>
        </w:rPr>
        <w:t>第二节 夯实土地保障</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_Toc8577 \h </w:instrText>
      </w:r>
      <w:r>
        <w:rPr>
          <w:rFonts w:ascii="Times New Roman" w:hAnsi="Times New Roman" w:cs="Times New Roman"/>
          <w:sz w:val="32"/>
          <w:szCs w:val="32"/>
        </w:rPr>
        <w:fldChar w:fldCharType="separate"/>
      </w:r>
      <w:r>
        <w:rPr>
          <w:rFonts w:ascii="Times New Roman" w:hAnsi="Times New Roman" w:cs="Times New Roman"/>
          <w:sz w:val="32"/>
          <w:szCs w:val="32"/>
        </w:rPr>
        <w:t>41</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0C5A2FE5">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"_Toc28659" </w:instrText>
      </w:r>
      <w:r>
        <w:fldChar w:fldCharType="separate"/>
      </w:r>
      <w:r>
        <w:rPr>
          <w:rFonts w:hint="eastAsia" w:ascii="方正楷体_GBK" w:hAnsi="方正楷体_GBK" w:eastAsia="方正楷体_GBK" w:cs="方正楷体_GBK"/>
          <w:sz w:val="32"/>
          <w:szCs w:val="32"/>
        </w:rPr>
        <w:t>第三节 加大金融支持</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_Toc28659 \h </w:instrText>
      </w:r>
      <w:r>
        <w:rPr>
          <w:rFonts w:ascii="Times New Roman" w:hAnsi="Times New Roman" w:cs="Times New Roman"/>
          <w:sz w:val="32"/>
          <w:szCs w:val="32"/>
        </w:rPr>
        <w:fldChar w:fldCharType="separate"/>
      </w:r>
      <w:r>
        <w:rPr>
          <w:rFonts w:ascii="Times New Roman" w:hAnsi="Times New Roman" w:cs="Times New Roman"/>
          <w:sz w:val="32"/>
          <w:szCs w:val="32"/>
        </w:rPr>
        <w:t>42</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7AEC2946">
      <w:pPr>
        <w:pStyle w:val="12"/>
        <w:pageBreakBefore w:val="0"/>
        <w:widowControl w:val="0"/>
        <w:tabs>
          <w:tab w:val="right" w:leader="dot" w:pos="8306"/>
        </w:tabs>
        <w:kinsoku/>
        <w:wordWrap/>
        <w:overflowPunct/>
        <w:topLinePunct w:val="0"/>
        <w:autoSpaceDE/>
        <w:autoSpaceDN/>
        <w:bidi w:val="0"/>
        <w:adjustRightInd/>
        <w:snapToGrid/>
        <w:spacing w:line="590" w:lineRule="exact"/>
        <w:textAlignment w:val="auto"/>
        <w:rPr>
          <w:rFonts w:ascii="Times New Roman" w:hAnsi="Times New Roman" w:cs="Times New Roman"/>
          <w:sz w:val="32"/>
          <w:szCs w:val="32"/>
        </w:rPr>
      </w:pPr>
      <w:r>
        <w:fldChar w:fldCharType="begin"/>
      </w:r>
      <w:r>
        <w:instrText xml:space="preserve"> HYPERLINK \l "_Toc7906" </w:instrText>
      </w:r>
      <w:r>
        <w:fldChar w:fldCharType="separate"/>
      </w:r>
      <w:r>
        <w:rPr>
          <w:rFonts w:hint="eastAsia" w:ascii="方正楷体_GBK" w:hAnsi="方正楷体_GBK" w:eastAsia="方正楷体_GBK" w:cs="方正楷体_GBK"/>
          <w:sz w:val="32"/>
          <w:szCs w:val="32"/>
        </w:rPr>
        <w:t>第四节 实施考核评估</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_Toc7906 \h </w:instrText>
      </w:r>
      <w:r>
        <w:rPr>
          <w:rFonts w:ascii="Times New Roman" w:hAnsi="Times New Roman" w:cs="Times New Roman"/>
          <w:sz w:val="32"/>
          <w:szCs w:val="32"/>
        </w:rPr>
        <w:fldChar w:fldCharType="separate"/>
      </w:r>
      <w:r>
        <w:rPr>
          <w:rFonts w:ascii="Times New Roman" w:hAnsi="Times New Roman" w:cs="Times New Roman"/>
          <w:sz w:val="32"/>
          <w:szCs w:val="32"/>
        </w:rPr>
        <w:t>42</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14:paraId="60E49584">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ascii="Times New Roman" w:hAnsi="Times New Roman" w:cs="Times New Roman"/>
          <w:color w:val="000000" w:themeColor="text1"/>
          <w:sz w:val="32"/>
          <w:szCs w:val="32"/>
          <w14:textFill>
            <w14:solidFill>
              <w14:schemeClr w14:val="tx1"/>
            </w14:solidFill>
          </w14:textFill>
        </w:rPr>
        <w:fldChar w:fldCharType="end"/>
      </w:r>
      <w:r>
        <w:rPr>
          <w:rFonts w:hint="eastAsia" w:ascii="方正仿宋_GBK" w:hAnsi="方正仿宋_GBK" w:eastAsia="方正仿宋_GBK" w:cs="方正仿宋_GBK"/>
          <w:color w:val="000000" w:themeColor="text1"/>
          <w:sz w:val="32"/>
          <w:szCs w:val="32"/>
          <w14:textFill>
            <w14:solidFill>
              <w14:schemeClr w14:val="tx1"/>
            </w14:solidFill>
          </w14:textFill>
        </w:rPr>
        <w:t>“十四五”时期是我国全面建成小康社会、实现第一个百年奋斗目标之后，乘势而上开启全面建设社会主义现代化国家新征程、向第二个百年奋斗目标进军的第一个五年。根据《安徽省国民经济和社会发展第十四个五年规划和</w:t>
      </w:r>
      <w:r>
        <w:rPr>
          <w:rFonts w:ascii="Times New Roman" w:hAnsi="Times New Roman" w:eastAsia="仿宋_GB2312" w:cs="Times New Roman"/>
          <w:color w:val="000000" w:themeColor="text1"/>
          <w:sz w:val="32"/>
          <w:szCs w:val="32"/>
          <w14:textFill>
            <w14:solidFill>
              <w14:schemeClr w14:val="tx1"/>
            </w14:solidFill>
          </w14:textFill>
        </w:rPr>
        <w:t>2035</w:t>
      </w:r>
      <w:r>
        <w:rPr>
          <w:rFonts w:hint="eastAsia" w:ascii="方正仿宋_GBK" w:hAnsi="方正仿宋_GBK" w:eastAsia="方正仿宋_GBK" w:cs="方正仿宋_GBK"/>
          <w:color w:val="000000" w:themeColor="text1"/>
          <w:sz w:val="32"/>
          <w:szCs w:val="32"/>
          <w14:textFill>
            <w14:solidFill>
              <w14:schemeClr w14:val="tx1"/>
            </w14:solidFill>
          </w14:textFill>
        </w:rPr>
        <w:t>年远景目标纲要》《铜陵市国民经济和社会发展第十四个五年规划和</w:t>
      </w:r>
      <w:r>
        <w:rPr>
          <w:rFonts w:ascii="Times New Roman" w:hAnsi="Times New Roman" w:eastAsia="仿宋_GB2312" w:cs="Times New Roman"/>
          <w:color w:val="000000" w:themeColor="text1"/>
          <w:sz w:val="32"/>
          <w:szCs w:val="32"/>
          <w14:textFill>
            <w14:solidFill>
              <w14:schemeClr w14:val="tx1"/>
            </w14:solidFill>
          </w14:textFill>
        </w:rPr>
        <w:t>2035</w:t>
      </w:r>
      <w:r>
        <w:rPr>
          <w:rFonts w:hint="eastAsia" w:ascii="方正仿宋_GBK" w:hAnsi="方正仿宋_GBK" w:eastAsia="方正仿宋_GBK" w:cs="方正仿宋_GBK"/>
          <w:color w:val="000000" w:themeColor="text1"/>
          <w:sz w:val="32"/>
          <w:szCs w:val="32"/>
          <w14:textFill>
            <w14:solidFill>
              <w14:schemeClr w14:val="tx1"/>
            </w14:solidFill>
          </w14:textFill>
        </w:rPr>
        <w:t>年远景目标纲要》《义安区国民经济和社会发展第十四个五年规划和</w:t>
      </w:r>
      <w:r>
        <w:rPr>
          <w:rFonts w:ascii="Times New Roman" w:hAnsi="Times New Roman" w:eastAsia="仿宋_GB2312" w:cs="Times New Roman"/>
          <w:color w:val="000000" w:themeColor="text1"/>
          <w:sz w:val="32"/>
          <w:szCs w:val="32"/>
          <w14:textFill>
            <w14:solidFill>
              <w14:schemeClr w14:val="tx1"/>
            </w14:solidFill>
          </w14:textFill>
        </w:rPr>
        <w:t>2035</w:t>
      </w:r>
      <w:r>
        <w:rPr>
          <w:rFonts w:hint="eastAsia" w:ascii="方正仿宋_GBK" w:hAnsi="方正仿宋_GBK" w:eastAsia="方正仿宋_GBK" w:cs="方正仿宋_GBK"/>
          <w:color w:val="000000" w:themeColor="text1"/>
          <w:sz w:val="32"/>
          <w:szCs w:val="32"/>
          <w14:textFill>
            <w14:solidFill>
              <w14:schemeClr w14:val="tx1"/>
            </w14:solidFill>
          </w14:textFill>
        </w:rPr>
        <w:t>远景目标纲要》，编制《义安区“十四五”战略性新兴产业发展规划》，系统总结义安区“十三五”战略性新兴产业发展现状，谋划“十四五”战略性新兴产业发展思路与目标、发展重点与布局、重大行动计划等，描绘义安区战略性新兴产业未来五年发展的宏伟蓝图，是推动义安战略性新兴产业高质量赶超式发展的行动纲领。</w:t>
      </w:r>
    </w:p>
    <w:p w14:paraId="3C48C976">
      <w:pPr>
        <w:pStyle w:val="2"/>
        <w:pageBreakBefore w:val="0"/>
        <w:widowControl w:val="0"/>
        <w:kinsoku/>
        <w:wordWrap/>
        <w:overflowPunct/>
        <w:topLinePunct w:val="0"/>
        <w:autoSpaceDE/>
        <w:autoSpaceDN/>
        <w:bidi w:val="0"/>
        <w:adjustRightInd/>
        <w:snapToGrid/>
        <w:spacing w:line="590" w:lineRule="exact"/>
        <w:textAlignment w:val="auto"/>
      </w:pPr>
      <w:bookmarkStart w:id="0" w:name="_Toc76137896"/>
      <w:bookmarkStart w:id="1" w:name="_Toc76137551"/>
      <w:bookmarkStart w:id="2" w:name="_Toc4960"/>
      <w:bookmarkStart w:id="3" w:name="_Toc27412"/>
      <w:bookmarkStart w:id="4" w:name="_Toc76137867"/>
      <w:r>
        <w:rPr>
          <w:rFonts w:hint="eastAsia" w:ascii="方正黑体_GBK" w:hAnsi="方正黑体_GBK" w:eastAsia="方正黑体_GBK" w:cs="方正黑体_GBK"/>
        </w:rPr>
        <w:t>第一章 发展基础与环境</w:t>
      </w:r>
      <w:bookmarkEnd w:id="0"/>
      <w:bookmarkEnd w:id="1"/>
      <w:bookmarkEnd w:id="2"/>
      <w:bookmarkEnd w:id="3"/>
      <w:bookmarkEnd w:id="4"/>
    </w:p>
    <w:p w14:paraId="4F658BE8">
      <w:pPr>
        <w:pStyle w:val="3"/>
        <w:pageBreakBefore w:val="0"/>
        <w:widowControl w:val="0"/>
        <w:kinsoku/>
        <w:wordWrap/>
        <w:overflowPunct/>
        <w:topLinePunct w:val="0"/>
        <w:autoSpaceDE/>
        <w:autoSpaceDN/>
        <w:bidi w:val="0"/>
        <w:adjustRightInd/>
        <w:snapToGrid/>
        <w:spacing w:line="590" w:lineRule="exact"/>
        <w:textAlignment w:val="auto"/>
        <w:rPr>
          <w:rFonts w:hint="eastAsia" w:ascii="方正楷体_GBK" w:hAnsi="方正楷体_GBK" w:eastAsia="方正楷体_GBK" w:cs="方正楷体_GBK"/>
          <w:b w:val="0"/>
          <w:bCs/>
        </w:rPr>
      </w:pPr>
      <w:bookmarkStart w:id="5" w:name="_Toc53819787"/>
      <w:bookmarkStart w:id="6" w:name="_Toc240"/>
      <w:bookmarkStart w:id="7" w:name="_Toc32275"/>
      <w:bookmarkStart w:id="8" w:name="_Toc76137552"/>
      <w:bookmarkStart w:id="9" w:name="_Toc76137868"/>
      <w:bookmarkStart w:id="10" w:name="_Toc76137897"/>
      <w:r>
        <w:rPr>
          <w:rFonts w:hint="eastAsia" w:ascii="方正楷体_GBK" w:hAnsi="方正楷体_GBK" w:eastAsia="方正楷体_GBK" w:cs="方正楷体_GBK"/>
          <w:b w:val="0"/>
          <w:bCs/>
        </w:rPr>
        <w:t xml:space="preserve">第一节 </w:t>
      </w:r>
      <w:bookmarkEnd w:id="5"/>
      <w:bookmarkEnd w:id="6"/>
      <w:r>
        <w:rPr>
          <w:rFonts w:hint="eastAsia" w:ascii="方正楷体_GBK" w:hAnsi="方正楷体_GBK" w:eastAsia="方正楷体_GBK" w:cs="方正楷体_GBK"/>
          <w:b w:val="0"/>
          <w:bCs/>
        </w:rPr>
        <w:t>发展基础</w:t>
      </w:r>
      <w:bookmarkEnd w:id="7"/>
      <w:bookmarkEnd w:id="8"/>
      <w:bookmarkEnd w:id="9"/>
      <w:bookmarkEnd w:id="10"/>
    </w:p>
    <w:p w14:paraId="05B52D89">
      <w:pPr>
        <w:pageBreakBefore w:val="0"/>
        <w:widowControl w:val="0"/>
        <w:kinsoku/>
        <w:wordWrap/>
        <w:overflowPunct/>
        <w:topLinePunct w:val="0"/>
        <w:autoSpaceDE/>
        <w:autoSpaceDN/>
        <w:bidi w:val="0"/>
        <w:adjustRightInd/>
        <w:snapToGrid/>
        <w:spacing w:line="590" w:lineRule="exact"/>
        <w:ind w:firstLine="640" w:firstLineChars="200"/>
        <w:textAlignment w:val="auto"/>
        <w:rPr>
          <w:rFonts w:ascii="Times New Roman" w:hAnsi="Times New Roman" w:eastAsia="仿宋_GB2312" w:cs="Times New Roman"/>
          <w:bCs/>
          <w:color w:val="000000" w:themeColor="text1"/>
          <w:sz w:val="32"/>
          <w:szCs w:val="32"/>
          <w14:textFill>
            <w14:solidFill>
              <w14:schemeClr w14:val="tx1"/>
            </w14:solidFill>
          </w14:textFill>
        </w:rPr>
      </w:pPr>
      <w:r>
        <w:rPr>
          <w:rFonts w:hint="eastAsia" w:ascii="方正仿宋_GBK" w:hAnsi="方正仿宋_GBK" w:eastAsia="方正仿宋_GBK" w:cs="方正仿宋_GBK"/>
          <w:bCs/>
          <w:color w:val="000000" w:themeColor="text1"/>
          <w:sz w:val="32"/>
          <w:szCs w:val="32"/>
          <w14:textFill>
            <w14:solidFill>
              <w14:schemeClr w14:val="tx1"/>
            </w14:solidFill>
          </w14:textFill>
        </w:rPr>
        <w:t>“十三五”期间，义安区大力实施“转型发展、融合发展、创新发展、绿色发展、和谐发展”五大战略，深入贯彻落实铜陵市工业转型升级“</w:t>
      </w:r>
      <w:r>
        <w:rPr>
          <w:rFonts w:ascii="Times New Roman" w:hAnsi="Times New Roman" w:eastAsia="仿宋_GB2312" w:cs="Times New Roman"/>
          <w:bCs/>
          <w:color w:val="000000" w:themeColor="text1"/>
          <w:sz w:val="32"/>
          <w:szCs w:val="32"/>
          <w14:textFill>
            <w14:solidFill>
              <w14:schemeClr w14:val="tx1"/>
            </w14:solidFill>
          </w14:textFill>
        </w:rPr>
        <w:t>1365</w:t>
      </w:r>
      <w:r>
        <w:rPr>
          <w:rFonts w:hint="eastAsia" w:ascii="方正仿宋_GBK" w:hAnsi="方正仿宋_GBK" w:eastAsia="方正仿宋_GBK" w:cs="方正仿宋_GBK"/>
          <w:bCs/>
          <w:color w:val="000000" w:themeColor="text1"/>
          <w:sz w:val="32"/>
          <w:szCs w:val="32"/>
          <w14:textFill>
            <w14:solidFill>
              <w14:schemeClr w14:val="tx1"/>
            </w14:solidFill>
          </w14:textFill>
        </w:rPr>
        <w:t>”行动方案，以科技创新为引领，全区战略性新兴产业发展稳中向好，逐步成长为经济增长的重要支撑。</w:t>
      </w:r>
    </w:p>
    <w:p w14:paraId="12A0839D">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color w:val="000000" w:themeColor="text1"/>
          <w:sz w:val="32"/>
          <w:szCs w:val="32"/>
          <w14:textFill>
            <w14:solidFill>
              <w14:schemeClr w14:val="tx1"/>
            </w14:solidFill>
          </w14:textFill>
        </w:rPr>
        <w:t>一、产业规模稳步壮大</w:t>
      </w:r>
    </w:p>
    <w:p w14:paraId="32E5E345">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bCs/>
          <w:color w:val="000000" w:themeColor="text1"/>
          <w:sz w:val="32"/>
          <w:szCs w:val="32"/>
          <w14:textFill>
            <w14:solidFill>
              <w14:schemeClr w14:val="tx1"/>
            </w14:solidFill>
          </w14:textFill>
        </w:rPr>
        <w:t>“十三五”期间，义安区扎实开展“两转一保”工作，持续推进中小企业“希望工程”、“小巨人”培育工程，着力推动战新产业体量持续提升。</w:t>
      </w:r>
      <w:r>
        <w:rPr>
          <w:rFonts w:ascii="Times New Roman" w:hAnsi="Times New Roman" w:eastAsia="仿宋_GB2312" w:cs="Times New Roman"/>
          <w:bCs/>
          <w:color w:val="000000" w:themeColor="text1"/>
          <w:sz w:val="32"/>
          <w:szCs w:val="32"/>
          <w14:textFill>
            <w14:solidFill>
              <w14:schemeClr w14:val="tx1"/>
            </w14:solidFill>
          </w14:textFill>
        </w:rPr>
        <w:t>2020</w:t>
      </w:r>
      <w:r>
        <w:rPr>
          <w:rFonts w:hint="eastAsia" w:ascii="方正仿宋_GBK" w:hAnsi="方正仿宋_GBK" w:eastAsia="方正仿宋_GBK" w:cs="方正仿宋_GBK"/>
          <w:bCs/>
          <w:color w:val="000000" w:themeColor="text1"/>
          <w:sz w:val="32"/>
          <w:szCs w:val="32"/>
          <w14:textFill>
            <w14:solidFill>
              <w14:schemeClr w14:val="tx1"/>
            </w14:solidFill>
          </w14:textFill>
        </w:rPr>
        <w:t>年，全区战新产业产值达</w:t>
      </w:r>
      <w:r>
        <w:rPr>
          <w:rFonts w:ascii="Times New Roman" w:hAnsi="Times New Roman" w:eastAsia="仿宋_GB2312" w:cs="Times New Roman"/>
          <w:bCs/>
          <w:color w:val="000000" w:themeColor="text1"/>
          <w:sz w:val="32"/>
          <w:szCs w:val="32"/>
          <w14:textFill>
            <w14:solidFill>
              <w14:schemeClr w14:val="tx1"/>
            </w14:solidFill>
          </w14:textFill>
        </w:rPr>
        <w:t>36.27</w:t>
      </w:r>
      <w:r>
        <w:rPr>
          <w:rFonts w:hint="eastAsia" w:ascii="方正仿宋_GBK" w:hAnsi="方正仿宋_GBK" w:eastAsia="方正仿宋_GBK" w:cs="方正仿宋_GBK"/>
          <w:bCs/>
          <w:color w:val="000000" w:themeColor="text1"/>
          <w:sz w:val="32"/>
          <w:szCs w:val="32"/>
          <w14:textFill>
            <w14:solidFill>
              <w14:schemeClr w14:val="tx1"/>
            </w14:solidFill>
          </w14:textFill>
        </w:rPr>
        <w:t>亿元，同比增长</w:t>
      </w:r>
      <w:r>
        <w:rPr>
          <w:rFonts w:ascii="Times New Roman" w:hAnsi="Times New Roman" w:eastAsia="仿宋_GB2312" w:cs="Times New Roman"/>
          <w:bCs/>
          <w:color w:val="000000" w:themeColor="text1"/>
          <w:sz w:val="32"/>
          <w:szCs w:val="32"/>
          <w14:textFill>
            <w14:solidFill>
              <w14:schemeClr w14:val="tx1"/>
            </w14:solidFill>
          </w14:textFill>
        </w:rPr>
        <w:t>23.2%，</w:t>
      </w:r>
      <w:r>
        <w:rPr>
          <w:rFonts w:hint="eastAsia" w:ascii="方正仿宋_GBK" w:hAnsi="方正仿宋_GBK" w:eastAsia="方正仿宋_GBK" w:cs="方正仿宋_GBK"/>
          <w:bCs/>
          <w:color w:val="000000" w:themeColor="text1"/>
          <w:sz w:val="32"/>
          <w:szCs w:val="32"/>
          <w14:textFill>
            <w14:solidFill>
              <w14:schemeClr w14:val="tx1"/>
            </w14:solidFill>
          </w14:textFill>
        </w:rPr>
        <w:t>高于全市</w:t>
      </w:r>
      <w:r>
        <w:rPr>
          <w:rFonts w:ascii="Times New Roman" w:hAnsi="Times New Roman" w:eastAsia="仿宋_GB2312" w:cs="Times New Roman"/>
          <w:bCs/>
          <w:color w:val="000000" w:themeColor="text1"/>
          <w:sz w:val="32"/>
          <w:szCs w:val="32"/>
          <w14:textFill>
            <w14:solidFill>
              <w14:schemeClr w14:val="tx1"/>
            </w14:solidFill>
          </w14:textFill>
        </w:rPr>
        <w:t>19.9</w:t>
      </w:r>
      <w:r>
        <w:rPr>
          <w:rFonts w:hint="eastAsia" w:ascii="方正仿宋_GBK" w:hAnsi="方正仿宋_GBK" w:eastAsia="方正仿宋_GBK" w:cs="方正仿宋_GBK"/>
          <w:bCs/>
          <w:color w:val="000000" w:themeColor="text1"/>
          <w:sz w:val="32"/>
          <w:szCs w:val="32"/>
          <w14:textFill>
            <w14:solidFill>
              <w14:schemeClr w14:val="tx1"/>
            </w14:solidFill>
          </w14:textFill>
        </w:rPr>
        <w:t>个百分点，增幅在全市各区县中排名第二。在库战新企业达</w:t>
      </w:r>
      <w:r>
        <w:rPr>
          <w:rFonts w:ascii="Times New Roman" w:hAnsi="Times New Roman" w:eastAsia="仿宋_GB2312" w:cs="Times New Roman"/>
          <w:bCs/>
          <w:color w:val="000000" w:themeColor="text1"/>
          <w:sz w:val="32"/>
          <w:szCs w:val="32"/>
          <w14:textFill>
            <w14:solidFill>
              <w14:schemeClr w14:val="tx1"/>
            </w14:solidFill>
          </w14:textFill>
        </w:rPr>
        <w:t>33</w:t>
      </w:r>
      <w:r>
        <w:rPr>
          <w:rFonts w:hint="eastAsia" w:ascii="方正仿宋_GBK" w:hAnsi="方正仿宋_GBK" w:eastAsia="方正仿宋_GBK" w:cs="方正仿宋_GBK"/>
          <w:bCs/>
          <w:color w:val="000000" w:themeColor="text1"/>
          <w:sz w:val="32"/>
          <w:szCs w:val="32"/>
          <w14:textFill>
            <w14:solidFill>
              <w14:schemeClr w14:val="tx1"/>
            </w14:solidFill>
          </w14:textFill>
        </w:rPr>
        <w:t>家，相较“十二五”末净增</w:t>
      </w:r>
      <w:r>
        <w:rPr>
          <w:rFonts w:ascii="Times New Roman" w:hAnsi="Times New Roman" w:eastAsia="仿宋_GB2312" w:cs="Times New Roman"/>
          <w:bCs/>
          <w:color w:val="000000" w:themeColor="text1"/>
          <w:sz w:val="32"/>
          <w:szCs w:val="32"/>
          <w14:textFill>
            <w14:solidFill>
              <w14:schemeClr w14:val="tx1"/>
            </w14:solidFill>
          </w14:textFill>
        </w:rPr>
        <w:t>15</w:t>
      </w:r>
      <w:r>
        <w:rPr>
          <w:rFonts w:hint="eastAsia" w:ascii="方正仿宋_GBK" w:hAnsi="方正仿宋_GBK" w:eastAsia="方正仿宋_GBK" w:cs="方正仿宋_GBK"/>
          <w:bCs/>
          <w:color w:val="000000" w:themeColor="text1"/>
          <w:sz w:val="32"/>
          <w:szCs w:val="32"/>
          <w14:textFill>
            <w14:solidFill>
              <w14:schemeClr w14:val="tx1"/>
            </w14:solidFill>
          </w14:textFill>
        </w:rPr>
        <w:t>家。</w:t>
      </w:r>
      <w:r>
        <w:rPr>
          <w:rFonts w:hint="eastAsia" w:ascii="方正仿宋_GBK" w:hAnsi="方正仿宋_GBK" w:eastAsia="方正仿宋_GBK" w:cs="方正仿宋_GBK"/>
          <w:color w:val="2B2B2B"/>
          <w:sz w:val="32"/>
          <w:szCs w:val="32"/>
        </w:rPr>
        <w:t>富乐德</w:t>
      </w:r>
      <w:r>
        <w:rPr>
          <w:rFonts w:hint="default" w:ascii="Times New Roman" w:hAnsi="Times New Roman" w:eastAsia="方正仿宋_GBK" w:cs="Times New Roman"/>
          <w:color w:val="2B2B2B"/>
          <w:sz w:val="32"/>
          <w:szCs w:val="32"/>
        </w:rPr>
        <w:t>TFT</w:t>
      </w:r>
      <w:r>
        <w:rPr>
          <w:rFonts w:hint="eastAsia" w:ascii="方正仿宋_GBK" w:hAnsi="方正仿宋_GBK" w:eastAsia="方正仿宋_GBK" w:cs="方正仿宋_GBK"/>
          <w:color w:val="2B2B2B"/>
          <w:sz w:val="32"/>
          <w:szCs w:val="32"/>
        </w:rPr>
        <w:t>、龙峰新材料等一批</w:t>
      </w:r>
      <w:r>
        <w:rPr>
          <w:rFonts w:hint="eastAsia" w:ascii="方正仿宋_GBK" w:hAnsi="方正仿宋_GBK" w:eastAsia="方正仿宋_GBK" w:cs="方正仿宋_GBK"/>
          <w:color w:val="000000" w:themeColor="text1"/>
          <w:sz w:val="32"/>
          <w:szCs w:val="32"/>
          <w14:textFill>
            <w14:solidFill>
              <w14:schemeClr w14:val="tx1"/>
            </w14:solidFill>
          </w14:textFill>
        </w:rPr>
        <w:t>成长性和示范带动性的战新产业</w:t>
      </w:r>
      <w:r>
        <w:rPr>
          <w:rFonts w:hint="eastAsia" w:ascii="方正仿宋_GBK" w:hAnsi="方正仿宋_GBK" w:eastAsia="方正仿宋_GBK" w:cs="方正仿宋_GBK"/>
          <w:color w:val="2B2B2B"/>
          <w:sz w:val="32"/>
          <w:szCs w:val="32"/>
        </w:rPr>
        <w:t>项目</w:t>
      </w:r>
      <w:r>
        <w:rPr>
          <w:rFonts w:hint="eastAsia" w:ascii="方正仿宋_GBK" w:hAnsi="方正仿宋_GBK" w:eastAsia="方正仿宋_GBK" w:cs="方正仿宋_GBK"/>
          <w:color w:val="000000" w:themeColor="text1"/>
          <w:sz w:val="32"/>
          <w:szCs w:val="32"/>
          <w14:textFill>
            <w14:solidFill>
              <w14:schemeClr w14:val="tx1"/>
            </w14:solidFill>
          </w14:textFill>
        </w:rPr>
        <w:t>相继投产并发挥效益。</w:t>
      </w:r>
    </w:p>
    <w:p w14:paraId="384CA19D">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color w:val="000000" w:themeColor="text1"/>
          <w:sz w:val="32"/>
          <w:szCs w:val="32"/>
          <w14:textFill>
            <w14:solidFill>
              <w14:schemeClr w14:val="tx1"/>
            </w14:solidFill>
          </w14:textFill>
        </w:rPr>
        <w:t>二、主导产业提质扩量</w:t>
      </w:r>
    </w:p>
    <w:p w14:paraId="40BB5528">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以“</w:t>
      </w:r>
      <w:r>
        <w:rPr>
          <w:rFonts w:ascii="Times New Roman" w:hAnsi="Times New Roman" w:eastAsia="仿宋_GB2312" w:cs="Times New Roman"/>
          <w:color w:val="000000" w:themeColor="text1"/>
          <w:sz w:val="32"/>
          <w:szCs w:val="32"/>
          <w14:textFill>
            <w14:solidFill>
              <w14:schemeClr w14:val="tx1"/>
            </w14:solidFill>
          </w14:textFill>
        </w:rPr>
        <w:t>3+4</w:t>
      </w:r>
      <w:r>
        <w:rPr>
          <w:rFonts w:hint="eastAsia" w:ascii="方正仿宋_GBK" w:hAnsi="方正仿宋_GBK" w:eastAsia="方正仿宋_GBK" w:cs="方正仿宋_GBK"/>
          <w:color w:val="000000" w:themeColor="text1"/>
          <w:sz w:val="32"/>
          <w:szCs w:val="32"/>
          <w14:textFill>
            <w14:solidFill>
              <w14:schemeClr w14:val="tx1"/>
            </w14:solidFill>
          </w14:textFill>
        </w:rPr>
        <w:t>”产业体系为核心，发展具有义安特色的新材料、新一代信息技术、高端装备、绿色食品四大战新主导产业。新材料产业坚持走特色高端、绿色循环之路，实现产值</w:t>
      </w:r>
      <w:r>
        <w:rPr>
          <w:rFonts w:ascii="Times New Roman" w:hAnsi="Times New Roman" w:eastAsia="仿宋_GB2312" w:cs="Times New Roman"/>
          <w:color w:val="000000" w:themeColor="text1"/>
          <w:sz w:val="32"/>
          <w:szCs w:val="32"/>
          <w14:textFill>
            <w14:solidFill>
              <w14:schemeClr w14:val="tx1"/>
            </w14:solidFill>
          </w14:textFill>
        </w:rPr>
        <w:t>13.58</w:t>
      </w:r>
      <w:r>
        <w:rPr>
          <w:rFonts w:hint="eastAsia" w:ascii="方正仿宋_GBK" w:hAnsi="方正仿宋_GBK" w:eastAsia="方正仿宋_GBK" w:cs="方正仿宋_GBK"/>
          <w:color w:val="000000" w:themeColor="text1"/>
          <w:sz w:val="32"/>
          <w:szCs w:val="32"/>
          <w14:textFill>
            <w14:solidFill>
              <w14:schemeClr w14:val="tx1"/>
            </w14:solidFill>
          </w14:textFill>
        </w:rPr>
        <w:t>亿元，在战新产业总产值中占比达</w:t>
      </w:r>
      <w:r>
        <w:rPr>
          <w:rFonts w:ascii="Times New Roman" w:hAnsi="Times New Roman" w:eastAsia="仿宋_GB2312" w:cs="Times New Roman"/>
          <w:color w:val="000000" w:themeColor="text1"/>
          <w:sz w:val="32"/>
          <w:szCs w:val="32"/>
          <w14:textFill>
            <w14:solidFill>
              <w14:schemeClr w14:val="tx1"/>
            </w14:solidFill>
          </w14:textFill>
        </w:rPr>
        <w:t>37.44%。</w:t>
      </w:r>
      <w:r>
        <w:rPr>
          <w:rFonts w:hint="eastAsia" w:ascii="方正仿宋_GBK" w:hAnsi="方正仿宋_GBK" w:eastAsia="方正仿宋_GBK" w:cs="方正仿宋_GBK"/>
          <w:color w:val="000000" w:themeColor="text1"/>
          <w:sz w:val="32"/>
          <w:szCs w:val="32"/>
          <w14:textFill>
            <w14:solidFill>
              <w14:schemeClr w14:val="tx1"/>
            </w14:solidFill>
          </w14:textFill>
        </w:rPr>
        <w:t>新一代信息技术产业紧紧围绕义安铜基新材料产业基底，集中发力集成电路、半导体领域，富乐德科技成为全市首家科创板申报企业。高端装备制造产业紧紧围绕“智造义安”，打造轨道交通装备和智能装备“双名片”，实现产值</w:t>
      </w:r>
      <w:r>
        <w:rPr>
          <w:rFonts w:ascii="Times New Roman" w:hAnsi="Times New Roman" w:eastAsia="仿宋_GB2312" w:cs="Times New Roman"/>
          <w:color w:val="000000" w:themeColor="text1"/>
          <w:sz w:val="32"/>
          <w:szCs w:val="32"/>
          <w14:textFill>
            <w14:solidFill>
              <w14:schemeClr w14:val="tx1"/>
            </w14:solidFill>
          </w14:textFill>
        </w:rPr>
        <w:t>11.48</w:t>
      </w:r>
      <w:r>
        <w:rPr>
          <w:rFonts w:hint="eastAsia" w:ascii="方正仿宋_GBK" w:hAnsi="方正仿宋_GBK" w:eastAsia="方正仿宋_GBK" w:cs="方正仿宋_GBK"/>
          <w:color w:val="000000" w:themeColor="text1"/>
          <w:sz w:val="32"/>
          <w:szCs w:val="32"/>
          <w14:textFill>
            <w14:solidFill>
              <w14:schemeClr w14:val="tx1"/>
            </w14:solidFill>
          </w14:textFill>
        </w:rPr>
        <w:t>亿元，在战新产业总产值占比达</w:t>
      </w:r>
      <w:r>
        <w:rPr>
          <w:rFonts w:ascii="Times New Roman" w:hAnsi="Times New Roman" w:eastAsia="仿宋_GB2312" w:cs="Times New Roman"/>
          <w:color w:val="000000" w:themeColor="text1"/>
          <w:sz w:val="32"/>
          <w:szCs w:val="32"/>
          <w14:textFill>
            <w14:solidFill>
              <w14:schemeClr w14:val="tx1"/>
            </w14:solidFill>
          </w14:textFill>
        </w:rPr>
        <w:t>31.65%。</w:t>
      </w:r>
      <w:r>
        <w:rPr>
          <w:rFonts w:hint="eastAsia" w:ascii="方正仿宋_GBK" w:hAnsi="方正仿宋_GBK" w:eastAsia="方正仿宋_GBK" w:cs="方正仿宋_GBK"/>
          <w:color w:val="000000" w:themeColor="text1"/>
          <w:sz w:val="32"/>
          <w:szCs w:val="32"/>
          <w14:textFill>
            <w14:solidFill>
              <w14:schemeClr w14:val="tx1"/>
            </w14:solidFill>
          </w14:textFill>
        </w:rPr>
        <w:t>绿色食品产业以食品科技为基底，基本形成以白姜、牡丹为特色的绿色健康食品产业集群。</w:t>
      </w:r>
    </w:p>
    <w:p w14:paraId="40F7EB37">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Cs/>
          <w:color w:val="000000" w:themeColor="text1"/>
          <w:sz w:val="32"/>
          <w:szCs w:val="32"/>
          <w14:textFill>
            <w14:solidFill>
              <w14:schemeClr w14:val="tx1"/>
            </w14:solidFill>
          </w14:textFill>
        </w:rPr>
      </w:pPr>
      <w:r>
        <w:rPr>
          <w:rFonts w:hint="eastAsia" w:ascii="方正黑体_GBK" w:hAnsi="方正黑体_GBK" w:eastAsia="方正黑体_GBK" w:cs="方正黑体_GBK"/>
          <w:bCs/>
          <w:color w:val="000000" w:themeColor="text1"/>
          <w:sz w:val="32"/>
          <w:szCs w:val="32"/>
          <w14:textFill>
            <w14:solidFill>
              <w14:schemeClr w14:val="tx1"/>
            </w14:solidFill>
          </w14:textFill>
        </w:rPr>
        <w:t>三、创新能级持续提升</w:t>
      </w:r>
    </w:p>
    <w:p w14:paraId="0207722E">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pacing w:val="12"/>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以科技创新为引领，深度融入安徽省“四个一”创新主平台，累计建成</w:t>
      </w:r>
      <w:r>
        <w:rPr>
          <w:rFonts w:hint="eastAsia" w:ascii="方正仿宋_GBK" w:hAnsi="方正仿宋_GBK" w:eastAsia="方正仿宋_GBK" w:cs="方正仿宋_GBK"/>
          <w:color w:val="000000" w:themeColor="text1"/>
          <w:spacing w:val="12"/>
          <w:sz w:val="32"/>
          <w:szCs w:val="32"/>
          <w14:textFill>
            <w14:solidFill>
              <w14:schemeClr w14:val="tx1"/>
            </w14:solidFill>
          </w14:textFill>
        </w:rPr>
        <w:t>国家级众创空间</w:t>
      </w:r>
      <w:r>
        <w:rPr>
          <w:rFonts w:ascii="Times New Roman" w:hAnsi="Times New Roman" w:eastAsia="仿宋_GB2312" w:cs="Times New Roman"/>
          <w:color w:val="000000" w:themeColor="text1"/>
          <w:spacing w:val="12"/>
          <w:sz w:val="32"/>
          <w:szCs w:val="32"/>
          <w14:textFill>
            <w14:solidFill>
              <w14:schemeClr w14:val="tx1"/>
            </w14:solidFill>
          </w14:textFill>
        </w:rPr>
        <w:t>1</w:t>
      </w:r>
      <w:r>
        <w:rPr>
          <w:rFonts w:hint="eastAsia" w:ascii="方正仿宋_GBK" w:hAnsi="方正仿宋_GBK" w:eastAsia="方正仿宋_GBK" w:cs="方正仿宋_GBK"/>
          <w:color w:val="000000" w:themeColor="text1"/>
          <w:spacing w:val="12"/>
          <w:sz w:val="32"/>
          <w:szCs w:val="32"/>
          <w14:textFill>
            <w14:solidFill>
              <w14:schemeClr w14:val="tx1"/>
            </w14:solidFill>
          </w14:textFill>
        </w:rPr>
        <w:t>家、国家级星创天地</w:t>
      </w:r>
      <w:r>
        <w:rPr>
          <w:rFonts w:ascii="Times New Roman" w:hAnsi="Times New Roman" w:eastAsia="仿宋_GB2312" w:cs="Times New Roman"/>
          <w:color w:val="000000" w:themeColor="text1"/>
          <w:spacing w:val="12"/>
          <w:sz w:val="32"/>
          <w:szCs w:val="32"/>
          <w14:textFill>
            <w14:solidFill>
              <w14:schemeClr w14:val="tx1"/>
            </w14:solidFill>
          </w14:textFill>
        </w:rPr>
        <w:t>5</w:t>
      </w:r>
      <w:r>
        <w:rPr>
          <w:rFonts w:hint="eastAsia" w:ascii="方正仿宋_GBK" w:hAnsi="方正仿宋_GBK" w:eastAsia="方正仿宋_GBK" w:cs="方正仿宋_GBK"/>
          <w:color w:val="000000" w:themeColor="text1"/>
          <w:spacing w:val="12"/>
          <w:sz w:val="32"/>
          <w:szCs w:val="32"/>
          <w14:textFill>
            <w14:solidFill>
              <w14:schemeClr w14:val="tx1"/>
            </w14:solidFill>
          </w14:textFill>
        </w:rPr>
        <w:t>家、院士工作站</w:t>
      </w:r>
      <w:r>
        <w:rPr>
          <w:rFonts w:ascii="Times New Roman" w:hAnsi="Times New Roman" w:eastAsia="仿宋_GB2312" w:cs="Times New Roman"/>
          <w:color w:val="000000" w:themeColor="text1"/>
          <w:spacing w:val="12"/>
          <w:sz w:val="32"/>
          <w:szCs w:val="32"/>
          <w14:textFill>
            <w14:solidFill>
              <w14:schemeClr w14:val="tx1"/>
            </w14:solidFill>
          </w14:textFill>
        </w:rPr>
        <w:t>1</w:t>
      </w:r>
      <w:r>
        <w:rPr>
          <w:rFonts w:hint="eastAsia" w:ascii="方正仿宋_GBK" w:hAnsi="方正仿宋_GBK" w:eastAsia="方正仿宋_GBK" w:cs="方正仿宋_GBK"/>
          <w:color w:val="000000" w:themeColor="text1"/>
          <w:spacing w:val="12"/>
          <w:sz w:val="32"/>
          <w:szCs w:val="32"/>
          <w14:textFill>
            <w14:solidFill>
              <w14:schemeClr w14:val="tx1"/>
            </w14:solidFill>
          </w14:textFill>
        </w:rPr>
        <w:t>家、博士后科研工作站</w:t>
      </w:r>
      <w:r>
        <w:rPr>
          <w:rFonts w:ascii="Times New Roman" w:hAnsi="Times New Roman" w:eastAsia="仿宋_GB2312" w:cs="Times New Roman"/>
          <w:color w:val="000000" w:themeColor="text1"/>
          <w:spacing w:val="12"/>
          <w:sz w:val="32"/>
          <w:szCs w:val="32"/>
          <w14:textFill>
            <w14:solidFill>
              <w14:schemeClr w14:val="tx1"/>
            </w14:solidFill>
          </w14:textFill>
        </w:rPr>
        <w:t>2</w:t>
      </w:r>
      <w:r>
        <w:rPr>
          <w:rFonts w:hint="eastAsia" w:ascii="方正仿宋_GBK" w:hAnsi="方正仿宋_GBK" w:eastAsia="方正仿宋_GBK" w:cs="方正仿宋_GBK"/>
          <w:color w:val="000000" w:themeColor="text1"/>
          <w:spacing w:val="12"/>
          <w:sz w:val="32"/>
          <w:szCs w:val="32"/>
          <w14:textFill>
            <w14:solidFill>
              <w14:schemeClr w14:val="tx1"/>
            </w14:solidFill>
          </w14:textFill>
        </w:rPr>
        <w:t>家、省级众创空间</w:t>
      </w:r>
      <w:r>
        <w:rPr>
          <w:rFonts w:ascii="Times New Roman" w:hAnsi="Times New Roman" w:eastAsia="仿宋_GB2312" w:cs="Times New Roman"/>
          <w:color w:val="000000" w:themeColor="text1"/>
          <w:spacing w:val="12"/>
          <w:sz w:val="32"/>
          <w:szCs w:val="32"/>
          <w14:textFill>
            <w14:solidFill>
              <w14:schemeClr w14:val="tx1"/>
            </w14:solidFill>
          </w14:textFill>
        </w:rPr>
        <w:t>2</w:t>
      </w:r>
      <w:r>
        <w:rPr>
          <w:rFonts w:hint="eastAsia" w:ascii="方正仿宋_GBK" w:hAnsi="方正仿宋_GBK" w:eastAsia="方正仿宋_GBK" w:cs="方正仿宋_GBK"/>
          <w:color w:val="000000" w:themeColor="text1"/>
          <w:spacing w:val="12"/>
          <w:sz w:val="32"/>
          <w:szCs w:val="32"/>
          <w14:textFill>
            <w14:solidFill>
              <w14:schemeClr w14:val="tx1"/>
            </w14:solidFill>
          </w14:textFill>
        </w:rPr>
        <w:t>家、省级科技企业孵化器</w:t>
      </w:r>
      <w:r>
        <w:rPr>
          <w:rFonts w:ascii="Times New Roman" w:hAnsi="Times New Roman" w:eastAsia="仿宋_GB2312" w:cs="Times New Roman"/>
          <w:color w:val="000000" w:themeColor="text1"/>
          <w:spacing w:val="12"/>
          <w:sz w:val="32"/>
          <w:szCs w:val="32"/>
          <w14:textFill>
            <w14:solidFill>
              <w14:schemeClr w14:val="tx1"/>
            </w14:solidFill>
          </w14:textFill>
        </w:rPr>
        <w:t>1</w:t>
      </w:r>
      <w:r>
        <w:rPr>
          <w:rFonts w:hint="eastAsia" w:ascii="方正仿宋_GBK" w:hAnsi="方正仿宋_GBK" w:eastAsia="方正仿宋_GBK" w:cs="方正仿宋_GBK"/>
          <w:color w:val="000000" w:themeColor="text1"/>
          <w:spacing w:val="12"/>
          <w:sz w:val="32"/>
          <w:szCs w:val="32"/>
          <w14:textFill>
            <w14:solidFill>
              <w14:schemeClr w14:val="tx1"/>
            </w14:solidFill>
          </w14:textFill>
        </w:rPr>
        <w:t>家、省级以上创新创业平台</w:t>
      </w:r>
      <w:r>
        <w:rPr>
          <w:rFonts w:ascii="Times New Roman" w:hAnsi="Times New Roman" w:eastAsia="仿宋_GB2312" w:cs="Times New Roman"/>
          <w:color w:val="000000" w:themeColor="text1"/>
          <w:spacing w:val="12"/>
          <w:sz w:val="32"/>
          <w:szCs w:val="32"/>
          <w14:textFill>
            <w14:solidFill>
              <w14:schemeClr w14:val="tx1"/>
            </w14:solidFill>
          </w14:textFill>
        </w:rPr>
        <w:t>2</w:t>
      </w:r>
      <w:r>
        <w:rPr>
          <w:rFonts w:hint="eastAsia" w:ascii="方正仿宋_GBK" w:hAnsi="方正仿宋_GBK" w:eastAsia="方正仿宋_GBK" w:cs="方正仿宋_GBK"/>
          <w:color w:val="000000" w:themeColor="text1"/>
          <w:spacing w:val="12"/>
          <w:sz w:val="32"/>
          <w:szCs w:val="32"/>
          <w14:textFill>
            <w14:solidFill>
              <w14:schemeClr w14:val="tx1"/>
            </w14:solidFill>
          </w14:textFill>
        </w:rPr>
        <w:t>个，</w:t>
      </w:r>
      <w:r>
        <w:rPr>
          <w:rFonts w:hint="eastAsia" w:ascii="方正仿宋_GBK" w:hAnsi="方正仿宋_GBK" w:eastAsia="方正仿宋_GBK" w:cs="方正仿宋_GBK"/>
          <w:color w:val="000000" w:themeColor="text1"/>
          <w:sz w:val="32"/>
          <w:szCs w:val="32"/>
          <w14:textFill>
            <w14:solidFill>
              <w14:schemeClr w14:val="tx1"/>
            </w14:solidFill>
          </w14:textFill>
        </w:rPr>
        <w:t>培育高层次科技人才团队</w:t>
      </w:r>
      <w:r>
        <w:rPr>
          <w:rFonts w:ascii="Times New Roman" w:hAnsi="Times New Roman" w:eastAsia="仿宋_GB2312" w:cs="Times New Roman"/>
          <w:color w:val="000000" w:themeColor="text1"/>
          <w:sz w:val="32"/>
          <w:szCs w:val="32"/>
          <w14:textFill>
            <w14:solidFill>
              <w14:schemeClr w14:val="tx1"/>
            </w14:solidFill>
          </w14:textFill>
        </w:rPr>
        <w:t>9</w:t>
      </w:r>
      <w:r>
        <w:rPr>
          <w:rFonts w:hint="eastAsia" w:ascii="方正仿宋_GBK" w:hAnsi="方正仿宋_GBK" w:eastAsia="方正仿宋_GBK" w:cs="方正仿宋_GBK"/>
          <w:color w:val="000000" w:themeColor="text1"/>
          <w:sz w:val="32"/>
          <w:szCs w:val="32"/>
          <w14:textFill>
            <w14:solidFill>
              <w14:schemeClr w14:val="tx1"/>
            </w14:solidFill>
          </w14:textFill>
        </w:rPr>
        <w:t>支。</w:t>
      </w:r>
      <w:r>
        <w:rPr>
          <w:rFonts w:hint="eastAsia" w:ascii="方正仿宋_GBK" w:hAnsi="方正仿宋_GBK" w:eastAsia="方正仿宋_GBK" w:cs="方正仿宋_GBK"/>
          <w:color w:val="000000" w:themeColor="text1"/>
          <w:spacing w:val="12"/>
          <w:sz w:val="32"/>
          <w:szCs w:val="32"/>
          <w14:textFill>
            <w14:solidFill>
              <w14:schemeClr w14:val="tx1"/>
            </w14:solidFill>
          </w14:textFill>
        </w:rPr>
        <w:t>每万人发明专利拥有量从</w:t>
      </w:r>
      <w:r>
        <w:rPr>
          <w:rFonts w:ascii="Times New Roman" w:hAnsi="Times New Roman" w:eastAsia="仿宋_GB2312" w:cs="Times New Roman"/>
          <w:color w:val="000000" w:themeColor="text1"/>
          <w:spacing w:val="12"/>
          <w:sz w:val="32"/>
          <w:szCs w:val="32"/>
          <w14:textFill>
            <w14:solidFill>
              <w14:schemeClr w14:val="tx1"/>
            </w14:solidFill>
          </w14:textFill>
        </w:rPr>
        <w:t>2015</w:t>
      </w:r>
      <w:r>
        <w:rPr>
          <w:rFonts w:hint="eastAsia" w:ascii="方正仿宋_GBK" w:hAnsi="方正仿宋_GBK" w:eastAsia="方正仿宋_GBK" w:cs="方正仿宋_GBK"/>
          <w:color w:val="000000" w:themeColor="text1"/>
          <w:spacing w:val="12"/>
          <w:sz w:val="32"/>
          <w:szCs w:val="32"/>
          <w14:textFill>
            <w14:solidFill>
              <w14:schemeClr w14:val="tx1"/>
            </w14:solidFill>
          </w14:textFill>
        </w:rPr>
        <w:t>年</w:t>
      </w:r>
      <w:r>
        <w:rPr>
          <w:rFonts w:ascii="Times New Roman" w:hAnsi="Times New Roman" w:eastAsia="仿宋_GB2312" w:cs="Times New Roman"/>
          <w:color w:val="000000" w:themeColor="text1"/>
          <w:spacing w:val="12"/>
          <w:sz w:val="32"/>
          <w:szCs w:val="32"/>
          <w14:textFill>
            <w14:solidFill>
              <w14:schemeClr w14:val="tx1"/>
            </w14:solidFill>
          </w14:textFill>
        </w:rPr>
        <w:t>5.17</w:t>
      </w:r>
      <w:r>
        <w:rPr>
          <w:rFonts w:hint="eastAsia" w:ascii="方正仿宋_GBK" w:hAnsi="方正仿宋_GBK" w:eastAsia="方正仿宋_GBK" w:cs="方正仿宋_GBK"/>
          <w:color w:val="000000" w:themeColor="text1"/>
          <w:spacing w:val="12"/>
          <w:sz w:val="32"/>
          <w:szCs w:val="32"/>
          <w14:textFill>
            <w14:solidFill>
              <w14:schemeClr w14:val="tx1"/>
            </w14:solidFill>
          </w14:textFill>
        </w:rPr>
        <w:t>件提至</w:t>
      </w:r>
      <w:r>
        <w:rPr>
          <w:rFonts w:ascii="Times New Roman" w:hAnsi="Times New Roman" w:eastAsia="仿宋_GB2312" w:cs="Times New Roman"/>
          <w:color w:val="000000" w:themeColor="text1"/>
          <w:spacing w:val="12"/>
          <w:sz w:val="32"/>
          <w:szCs w:val="32"/>
          <w14:textFill>
            <w14:solidFill>
              <w14:schemeClr w14:val="tx1"/>
            </w14:solidFill>
          </w14:textFill>
        </w:rPr>
        <w:t>2020</w:t>
      </w:r>
      <w:r>
        <w:rPr>
          <w:rFonts w:hint="eastAsia" w:ascii="方正仿宋_GBK" w:hAnsi="方正仿宋_GBK" w:eastAsia="方正仿宋_GBK" w:cs="方正仿宋_GBK"/>
          <w:color w:val="000000" w:themeColor="text1"/>
          <w:spacing w:val="12"/>
          <w:sz w:val="32"/>
          <w:szCs w:val="32"/>
          <w14:textFill>
            <w14:solidFill>
              <w14:schemeClr w14:val="tx1"/>
            </w14:solidFill>
          </w14:textFill>
        </w:rPr>
        <w:t>年</w:t>
      </w:r>
      <w:r>
        <w:rPr>
          <w:rFonts w:ascii="Times New Roman" w:hAnsi="Times New Roman" w:eastAsia="仿宋_GB2312" w:cs="Times New Roman"/>
          <w:color w:val="000000" w:themeColor="text1"/>
          <w:spacing w:val="12"/>
          <w:sz w:val="32"/>
          <w:szCs w:val="32"/>
          <w14:textFill>
            <w14:solidFill>
              <w14:schemeClr w14:val="tx1"/>
            </w14:solidFill>
          </w14:textFill>
        </w:rPr>
        <w:t>20.3</w:t>
      </w:r>
      <w:r>
        <w:rPr>
          <w:rFonts w:hint="eastAsia" w:ascii="方正仿宋_GBK" w:hAnsi="方正仿宋_GBK" w:eastAsia="方正仿宋_GBK" w:cs="方正仿宋_GBK"/>
          <w:color w:val="000000" w:themeColor="text1"/>
          <w:spacing w:val="12"/>
          <w:sz w:val="32"/>
          <w:szCs w:val="32"/>
          <w14:textFill>
            <w14:solidFill>
              <w14:schemeClr w14:val="tx1"/>
            </w14:solidFill>
          </w14:textFill>
        </w:rPr>
        <w:t>件。荣获“安徽省第二批知识产权示范区”称号，义安区经开区入列“安徽省首批知识产权示范园区”。农业科技园区通过科技部考核验收，圆梦“国字号”，入选国家农业高新技术产业示范区省级预备队。安徽百舸争流信息科技有限公司在省科创板成功挂牌上市，实现区企业股改上市零突破。</w:t>
      </w:r>
    </w:p>
    <w:p w14:paraId="72B3EFFA">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Cs/>
          <w:color w:val="000000" w:themeColor="text1"/>
          <w:sz w:val="32"/>
          <w:szCs w:val="32"/>
          <w14:textFill>
            <w14:solidFill>
              <w14:schemeClr w14:val="tx1"/>
            </w14:solidFill>
          </w14:textFill>
        </w:rPr>
      </w:pPr>
      <w:r>
        <w:rPr>
          <w:rFonts w:hint="eastAsia" w:ascii="方正黑体_GBK" w:hAnsi="方正黑体_GBK" w:eastAsia="方正黑体_GBK" w:cs="方正黑体_GBK"/>
          <w:bCs/>
          <w:color w:val="000000" w:themeColor="text1"/>
          <w:sz w:val="32"/>
          <w:szCs w:val="32"/>
          <w14:textFill>
            <w14:solidFill>
              <w14:schemeClr w14:val="tx1"/>
            </w14:solidFill>
          </w14:textFill>
        </w:rPr>
        <w:t>四、“双招双引”活力迸发</w:t>
      </w:r>
    </w:p>
    <w:p w14:paraId="7C0A3C89">
      <w:pPr>
        <w:pageBreakBefore w:val="0"/>
        <w:widowControl w:val="0"/>
        <w:kinsoku/>
        <w:wordWrap/>
        <w:overflowPunct/>
        <w:topLinePunct w:val="0"/>
        <w:autoSpaceDE/>
        <w:autoSpaceDN/>
        <w:bidi w:val="0"/>
        <w:adjustRightInd/>
        <w:snapToGrid/>
        <w:spacing w:line="59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抢抓长三角一体化发展国家战略机遇，高位推动“双招双引”。坚持招商引资“首位工程”不动摇，深度参与长三角产业分工，试水“飞地”式招商，与浙江海盐、慈溪签订区域合作协议，累计引进亿元以上项目</w:t>
      </w:r>
      <w:r>
        <w:rPr>
          <w:rFonts w:ascii="Times New Roman" w:hAnsi="Times New Roman" w:eastAsia="仿宋_GB2312" w:cs="Times New Roman"/>
          <w:color w:val="000000" w:themeColor="text1"/>
          <w:sz w:val="32"/>
          <w:szCs w:val="32"/>
          <w14:textFill>
            <w14:solidFill>
              <w14:schemeClr w14:val="tx1"/>
            </w14:solidFill>
          </w14:textFill>
        </w:rPr>
        <w:t>171</w:t>
      </w:r>
      <w:r>
        <w:rPr>
          <w:rFonts w:hint="eastAsia" w:ascii="方正仿宋_GBK" w:hAnsi="方正仿宋_GBK" w:eastAsia="方正仿宋_GBK" w:cs="方正仿宋_GBK"/>
          <w:color w:val="000000" w:themeColor="text1"/>
          <w:sz w:val="32"/>
          <w:szCs w:val="32"/>
          <w14:textFill>
            <w14:solidFill>
              <w14:schemeClr w14:val="tx1"/>
            </w14:solidFill>
          </w14:textFill>
        </w:rPr>
        <w:t>个，实际到位内资</w:t>
      </w:r>
      <w:r>
        <w:rPr>
          <w:rFonts w:ascii="Times New Roman" w:hAnsi="Times New Roman" w:eastAsia="仿宋_GB2312" w:cs="Times New Roman"/>
          <w:color w:val="000000" w:themeColor="text1"/>
          <w:sz w:val="32"/>
          <w:szCs w:val="32"/>
          <w14:textFill>
            <w14:solidFill>
              <w14:schemeClr w14:val="tx1"/>
            </w14:solidFill>
          </w14:textFill>
        </w:rPr>
        <w:t>584.4</w:t>
      </w:r>
      <w:r>
        <w:rPr>
          <w:rFonts w:hint="eastAsia" w:ascii="方正仿宋_GBK" w:hAnsi="方正仿宋_GBK" w:eastAsia="方正仿宋_GBK" w:cs="方正仿宋_GBK"/>
          <w:color w:val="000000" w:themeColor="text1"/>
          <w:sz w:val="32"/>
          <w:szCs w:val="32"/>
          <w14:textFill>
            <w14:solidFill>
              <w14:schemeClr w14:val="tx1"/>
            </w14:solidFill>
          </w14:textFill>
        </w:rPr>
        <w:t>亿元，成功签约富乐德长江半导体产业园、嘉铜合创金属制品产业园、心里程区域总部经济等一批</w:t>
      </w:r>
      <w:r>
        <w:rPr>
          <w:rFonts w:ascii="Times New Roman" w:hAnsi="Times New Roman" w:eastAsia="仿宋_GB2312" w:cs="Times New Roman"/>
          <w:color w:val="000000" w:themeColor="text1"/>
          <w:sz w:val="32"/>
          <w:szCs w:val="32"/>
          <w14:textFill>
            <w14:solidFill>
              <w14:schemeClr w14:val="tx1"/>
            </w14:solidFill>
          </w14:textFill>
        </w:rPr>
        <w:t>20</w:t>
      </w:r>
      <w:r>
        <w:rPr>
          <w:rFonts w:hint="eastAsia" w:ascii="方正仿宋_GBK" w:hAnsi="方正仿宋_GBK" w:eastAsia="方正仿宋_GBK" w:cs="方正仿宋_GBK"/>
          <w:color w:val="000000" w:themeColor="text1"/>
          <w:sz w:val="32"/>
          <w:szCs w:val="32"/>
          <w14:textFill>
            <w14:solidFill>
              <w14:schemeClr w14:val="tx1"/>
            </w14:solidFill>
          </w14:textFill>
        </w:rPr>
        <w:t>亿级产业项目，其中，嘉铜合创金属制品产业园获批安徽省际产业合作园区称号。招才引智量质并举，成功引入江南大学（铜陵）国家技术转移中心，魏兆军高层次科技人才团队通过省级评审，累计柔性引才</w:t>
      </w:r>
      <w:r>
        <w:rPr>
          <w:rFonts w:ascii="Times New Roman" w:hAnsi="Times New Roman" w:eastAsia="仿宋_GB2312" w:cs="Times New Roman"/>
          <w:color w:val="000000" w:themeColor="text1"/>
          <w:sz w:val="32"/>
          <w:szCs w:val="32"/>
          <w14:textFill>
            <w14:solidFill>
              <w14:schemeClr w14:val="tx1"/>
            </w14:solidFill>
          </w14:textFill>
        </w:rPr>
        <w:t>42</w:t>
      </w:r>
      <w:r>
        <w:rPr>
          <w:rFonts w:hint="eastAsia" w:ascii="方正仿宋_GBK" w:hAnsi="方正仿宋_GBK" w:eastAsia="方正仿宋_GBK" w:cs="方正仿宋_GBK"/>
          <w:color w:val="000000" w:themeColor="text1"/>
          <w:sz w:val="32"/>
          <w:szCs w:val="32"/>
          <w14:textFill>
            <w14:solidFill>
              <w14:schemeClr w14:val="tx1"/>
            </w14:solidFill>
          </w14:textFill>
        </w:rPr>
        <w:t>名。</w:t>
      </w:r>
    </w:p>
    <w:p w14:paraId="2FC14822">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Cs/>
          <w:color w:val="000000" w:themeColor="text1"/>
          <w:sz w:val="32"/>
          <w:szCs w:val="32"/>
          <w14:textFill>
            <w14:solidFill>
              <w14:schemeClr w14:val="tx1"/>
            </w14:solidFill>
          </w14:textFill>
        </w:rPr>
      </w:pPr>
      <w:r>
        <w:rPr>
          <w:rFonts w:hint="eastAsia" w:ascii="方正黑体_GBK" w:hAnsi="方正黑体_GBK" w:eastAsia="方正黑体_GBK" w:cs="方正黑体_GBK"/>
          <w:bCs/>
          <w:color w:val="000000" w:themeColor="text1"/>
          <w:sz w:val="32"/>
          <w:szCs w:val="32"/>
          <w14:textFill>
            <w14:solidFill>
              <w14:schemeClr w14:val="tx1"/>
            </w14:solidFill>
          </w14:textFill>
        </w:rPr>
        <w:t>五、营商环境不断优化</w:t>
      </w:r>
    </w:p>
    <w:p w14:paraId="24F91DA4">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扎实开展“四送一服”双千工程、“暖企行动”、民营经济提升工程，配套制定《铜陵市义安区园区新建项目产业扶持若干政策》、《关于开展</w:t>
      </w:r>
      <w:r>
        <w:rPr>
          <w:rFonts w:ascii="Times New Roman" w:hAnsi="Times New Roman" w:eastAsia="仿宋_GB2312" w:cs="Times New Roman"/>
          <w:color w:val="000000" w:themeColor="text1"/>
          <w:sz w:val="32"/>
          <w:szCs w:val="32"/>
          <w14:textFill>
            <w14:solidFill>
              <w14:schemeClr w14:val="tx1"/>
            </w14:solidFill>
          </w14:textFill>
        </w:rPr>
        <w:t>2019</w:t>
      </w:r>
      <w:r>
        <w:rPr>
          <w:rFonts w:hint="eastAsia" w:ascii="方正仿宋_GBK" w:hAnsi="方正仿宋_GBK" w:eastAsia="方正仿宋_GBK" w:cs="方正仿宋_GBK"/>
          <w:color w:val="000000" w:themeColor="text1"/>
          <w:sz w:val="32"/>
          <w:szCs w:val="32"/>
          <w14:textFill>
            <w14:solidFill>
              <w14:schemeClr w14:val="tx1"/>
            </w14:solidFill>
          </w14:textFill>
        </w:rPr>
        <w:t>年度市战略性新兴产业发展引导资金申报工作的通知》等“</w:t>
      </w:r>
      <w:r>
        <w:rPr>
          <w:rFonts w:ascii="Times New Roman" w:hAnsi="Times New Roman" w:eastAsia="仿宋_GB2312" w:cs="Times New Roman"/>
          <w:color w:val="000000" w:themeColor="text1"/>
          <w:sz w:val="32"/>
          <w:szCs w:val="32"/>
          <w14:textFill>
            <w14:solidFill>
              <w14:schemeClr w14:val="tx1"/>
            </w14:solidFill>
          </w14:textFill>
        </w:rPr>
        <w:t>1+7</w:t>
      </w:r>
      <w:r>
        <w:rPr>
          <w:rFonts w:hint="eastAsia" w:ascii="方正仿宋_GBK" w:hAnsi="方正仿宋_GBK" w:eastAsia="方正仿宋_GBK" w:cs="方正仿宋_GBK"/>
          <w:color w:val="000000" w:themeColor="text1"/>
          <w:sz w:val="32"/>
          <w:szCs w:val="32"/>
          <w14:textFill>
            <w14:solidFill>
              <w14:schemeClr w14:val="tx1"/>
            </w14:solidFill>
          </w14:textFill>
        </w:rPr>
        <w:t>”政策体系，实现重点企业帮扶全覆盖。切实解决企业资金难题，设立“过桥资金”，提供“</w:t>
      </w:r>
      <w:r>
        <w:rPr>
          <w:rFonts w:ascii="Times New Roman" w:hAnsi="Times New Roman" w:eastAsia="仿宋_GB2312" w:cs="Times New Roman"/>
          <w:color w:val="000000" w:themeColor="text1"/>
          <w:sz w:val="32"/>
          <w:szCs w:val="32"/>
          <w14:textFill>
            <w14:solidFill>
              <w14:schemeClr w14:val="tx1"/>
            </w14:solidFill>
          </w14:textFill>
        </w:rPr>
        <w:t>4321</w:t>
      </w:r>
      <w:r>
        <w:rPr>
          <w:rFonts w:hint="eastAsia" w:ascii="方正仿宋_GBK" w:hAnsi="方正仿宋_GBK" w:eastAsia="方正仿宋_GBK" w:cs="方正仿宋_GBK"/>
          <w:color w:val="000000" w:themeColor="text1"/>
          <w:sz w:val="32"/>
          <w:szCs w:val="32"/>
          <w14:textFill>
            <w14:solidFill>
              <w14:schemeClr w14:val="tx1"/>
            </w14:solidFill>
          </w14:textFill>
        </w:rPr>
        <w:t>”新型政银担贷款，累计解决企业续贷资金</w:t>
      </w:r>
      <w:r>
        <w:rPr>
          <w:rFonts w:ascii="Times New Roman" w:hAnsi="Times New Roman" w:eastAsia="仿宋_GB2312" w:cs="Times New Roman"/>
          <w:color w:val="000000" w:themeColor="text1"/>
          <w:sz w:val="32"/>
          <w:szCs w:val="32"/>
          <w14:textFill>
            <w14:solidFill>
              <w14:schemeClr w14:val="tx1"/>
            </w14:solidFill>
          </w14:textFill>
        </w:rPr>
        <w:t>64.8</w:t>
      </w:r>
      <w:r>
        <w:rPr>
          <w:rFonts w:hint="eastAsia" w:ascii="方正仿宋_GBK" w:hAnsi="方正仿宋_GBK" w:eastAsia="方正仿宋_GBK" w:cs="方正仿宋_GBK"/>
          <w:color w:val="000000" w:themeColor="text1"/>
          <w:sz w:val="32"/>
          <w:szCs w:val="32"/>
          <w14:textFill>
            <w14:solidFill>
              <w14:schemeClr w14:val="tx1"/>
            </w14:solidFill>
          </w14:textFill>
        </w:rPr>
        <w:t>亿元，撬动金融机构贷款</w:t>
      </w:r>
      <w:r>
        <w:rPr>
          <w:rFonts w:ascii="Times New Roman" w:hAnsi="Times New Roman" w:eastAsia="仿宋_GB2312" w:cs="Times New Roman"/>
          <w:color w:val="000000" w:themeColor="text1"/>
          <w:sz w:val="32"/>
          <w:szCs w:val="32"/>
          <w14:textFill>
            <w14:solidFill>
              <w14:schemeClr w14:val="tx1"/>
            </w14:solidFill>
          </w14:textFill>
        </w:rPr>
        <w:t>16</w:t>
      </w:r>
      <w:r>
        <w:rPr>
          <w:rFonts w:hint="eastAsia" w:ascii="方正仿宋_GBK" w:hAnsi="方正仿宋_GBK" w:eastAsia="方正仿宋_GBK" w:cs="方正仿宋_GBK"/>
          <w:color w:val="000000" w:themeColor="text1"/>
          <w:sz w:val="32"/>
          <w:szCs w:val="32"/>
          <w14:textFill>
            <w14:solidFill>
              <w14:schemeClr w14:val="tx1"/>
            </w14:solidFill>
          </w14:textFill>
        </w:rPr>
        <w:t>亿元，减免缓抵各类税费</w:t>
      </w:r>
      <w:r>
        <w:rPr>
          <w:rFonts w:ascii="Times New Roman" w:hAnsi="Times New Roman" w:eastAsia="仿宋_GB2312" w:cs="Times New Roman"/>
          <w:color w:val="000000" w:themeColor="text1"/>
          <w:sz w:val="32"/>
          <w:szCs w:val="32"/>
          <w14:textFill>
            <w14:solidFill>
              <w14:schemeClr w14:val="tx1"/>
            </w14:solidFill>
          </w14:textFill>
        </w:rPr>
        <w:t>23.6</w:t>
      </w:r>
      <w:r>
        <w:rPr>
          <w:rFonts w:hint="eastAsia" w:ascii="方正仿宋_GBK" w:hAnsi="方正仿宋_GBK" w:eastAsia="方正仿宋_GBK" w:cs="方正仿宋_GBK"/>
          <w:color w:val="000000" w:themeColor="text1"/>
          <w:sz w:val="32"/>
          <w:szCs w:val="32"/>
          <w14:textFill>
            <w14:solidFill>
              <w14:schemeClr w14:val="tx1"/>
            </w14:solidFill>
          </w14:textFill>
        </w:rPr>
        <w:t>亿元，积极对接多层次资本市场，成功引进耀安伯翰等基金公司</w:t>
      </w:r>
      <w:r>
        <w:rPr>
          <w:rFonts w:ascii="Times New Roman" w:hAnsi="Times New Roman" w:eastAsia="仿宋_GB2312" w:cs="Times New Roman"/>
          <w:color w:val="000000" w:themeColor="text1"/>
          <w:sz w:val="32"/>
          <w:szCs w:val="32"/>
          <w14:textFill>
            <w14:solidFill>
              <w14:schemeClr w14:val="tx1"/>
            </w14:solidFill>
          </w14:textFill>
        </w:rPr>
        <w:t>4</w:t>
      </w:r>
      <w:r>
        <w:rPr>
          <w:rFonts w:hint="eastAsia" w:ascii="方正仿宋_GBK" w:hAnsi="方正仿宋_GBK" w:eastAsia="方正仿宋_GBK" w:cs="方正仿宋_GBK"/>
          <w:color w:val="000000" w:themeColor="text1"/>
          <w:sz w:val="32"/>
          <w:szCs w:val="32"/>
          <w14:textFill>
            <w14:solidFill>
              <w14:schemeClr w14:val="tx1"/>
            </w14:solidFill>
          </w14:textFill>
        </w:rPr>
        <w:t>家，到位资金</w:t>
      </w:r>
      <w:r>
        <w:rPr>
          <w:rFonts w:ascii="Times New Roman" w:hAnsi="Times New Roman" w:eastAsia="仿宋_GB2312" w:cs="Times New Roman"/>
          <w:color w:val="000000" w:themeColor="text1"/>
          <w:sz w:val="32"/>
          <w:szCs w:val="32"/>
          <w14:textFill>
            <w14:solidFill>
              <w14:schemeClr w14:val="tx1"/>
            </w14:solidFill>
          </w14:textFill>
        </w:rPr>
        <w:t>8.6</w:t>
      </w:r>
      <w:r>
        <w:rPr>
          <w:rFonts w:hint="eastAsia" w:ascii="方正仿宋_GBK" w:hAnsi="方正仿宋_GBK" w:eastAsia="方正仿宋_GBK" w:cs="方正仿宋_GBK"/>
          <w:color w:val="000000" w:themeColor="text1"/>
          <w:sz w:val="32"/>
          <w:szCs w:val="32"/>
          <w14:textFill>
            <w14:solidFill>
              <w14:schemeClr w14:val="tx1"/>
            </w14:solidFill>
          </w14:textFill>
        </w:rPr>
        <w:t>亿元。加速重大项目落地，“富乐德模式”刷新项目建设“新速度”。义安区开发区荣获“安徽省投资环境十佳开发区”称号。</w:t>
      </w:r>
    </w:p>
    <w:p w14:paraId="03F2D587">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取得以上成绩的同时，也要清醒地认识到，义安区战新产业发展依然处于新旧动能转换的过渡期、产业链形成的关键期、产业规模扩大的振荡期、产业质量提升的爬坡期，仍存在一些亟需解决的问题。</w:t>
      </w:r>
    </w:p>
    <w:p w14:paraId="15F65152">
      <w:pPr>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b/>
          <w:bCs/>
          <w:color w:val="000000" w:themeColor="text1"/>
          <w:sz w:val="32"/>
          <w:szCs w:val="32"/>
          <w14:textFill>
            <w14:solidFill>
              <w14:schemeClr w14:val="tx1"/>
            </w14:solidFill>
          </w14:textFill>
        </w:rPr>
        <w:t>一是战新产业竞争力有待增强。</w:t>
      </w:r>
      <w:r>
        <w:rPr>
          <w:rFonts w:hint="eastAsia" w:ascii="方正仿宋_GBK" w:hAnsi="方正仿宋_GBK" w:eastAsia="方正仿宋_GBK" w:cs="方正仿宋_GBK"/>
          <w:color w:val="000000" w:themeColor="text1"/>
          <w:sz w:val="32"/>
          <w:szCs w:val="32"/>
          <w14:textFill>
            <w14:solidFill>
              <w14:schemeClr w14:val="tx1"/>
            </w14:solidFill>
          </w14:textFill>
        </w:rPr>
        <w:t>虽然</w:t>
      </w:r>
      <w:r>
        <w:rPr>
          <w:rFonts w:ascii="Times New Roman" w:hAnsi="Times New Roman" w:eastAsia="仿宋_GB2312" w:cs="Times New Roman"/>
          <w:color w:val="000000" w:themeColor="text1"/>
          <w:sz w:val="32"/>
          <w:szCs w:val="32"/>
          <w14:textFill>
            <w14:solidFill>
              <w14:schemeClr w14:val="tx1"/>
            </w14:solidFill>
          </w14:textFill>
        </w:rPr>
        <w:t>2020</w:t>
      </w:r>
      <w:r>
        <w:rPr>
          <w:rFonts w:hint="eastAsia" w:ascii="方正仿宋_GBK" w:hAnsi="方正仿宋_GBK" w:eastAsia="方正仿宋_GBK" w:cs="方正仿宋_GBK"/>
          <w:color w:val="000000" w:themeColor="text1"/>
          <w:sz w:val="32"/>
          <w:szCs w:val="32"/>
          <w14:textFill>
            <w14:solidFill>
              <w14:schemeClr w14:val="tx1"/>
            </w14:solidFill>
          </w14:textFill>
        </w:rPr>
        <w:t>年义安区战新产业产值在全市各县区中排名靠前，但仅为铜官区的二分之一，战新产业竞争力仍有待提升。</w:t>
      </w:r>
      <w:r>
        <w:rPr>
          <w:rFonts w:hint="eastAsia" w:ascii="方正仿宋_GBK" w:hAnsi="方正仿宋_GBK" w:eastAsia="方正仿宋_GBK" w:cs="方正仿宋_GBK"/>
          <w:b/>
          <w:bCs/>
          <w:color w:val="000000" w:themeColor="text1"/>
          <w:sz w:val="32"/>
          <w:szCs w:val="32"/>
          <w14:textFill>
            <w14:solidFill>
              <w14:schemeClr w14:val="tx1"/>
            </w14:solidFill>
          </w14:textFill>
        </w:rPr>
        <w:t>二是产业布局有待集聚。</w:t>
      </w:r>
      <w:r>
        <w:rPr>
          <w:rFonts w:hint="eastAsia" w:ascii="方正仿宋_GBK" w:hAnsi="方正仿宋_GBK" w:eastAsia="方正仿宋_GBK" w:cs="方正仿宋_GBK"/>
          <w:color w:val="000000" w:themeColor="text1"/>
          <w:sz w:val="32"/>
          <w:szCs w:val="32"/>
          <w14:textFill>
            <w14:solidFill>
              <w14:schemeClr w14:val="tx1"/>
            </w14:solidFill>
          </w14:textFill>
        </w:rPr>
        <w:t>义安区</w:t>
      </w:r>
      <w:r>
        <w:rPr>
          <w:rFonts w:ascii="Times New Roman" w:hAnsi="Times New Roman" w:eastAsia="仿宋_GB2312" w:cs="Times New Roman"/>
          <w:color w:val="000000" w:themeColor="text1"/>
          <w:sz w:val="32"/>
          <w:szCs w:val="32"/>
          <w14:textFill>
            <w14:solidFill>
              <w14:schemeClr w14:val="tx1"/>
            </w14:solidFill>
          </w14:textFill>
        </w:rPr>
        <w:t>33</w:t>
      </w:r>
      <w:r>
        <w:rPr>
          <w:rFonts w:hint="eastAsia" w:ascii="方正仿宋_GBK" w:hAnsi="方正仿宋_GBK" w:eastAsia="方正仿宋_GBK" w:cs="方正仿宋_GBK"/>
          <w:color w:val="000000" w:themeColor="text1"/>
          <w:sz w:val="32"/>
          <w:szCs w:val="32"/>
          <w14:textFill>
            <w14:solidFill>
              <w14:schemeClr w14:val="tx1"/>
            </w14:solidFill>
          </w14:textFill>
        </w:rPr>
        <w:t>家战新主要企业分布在四个乡镇、两个园区及新桥办等地，其中义安经开区集聚企业</w:t>
      </w:r>
      <w:r>
        <w:rPr>
          <w:rFonts w:ascii="Times New Roman" w:hAnsi="Times New Roman" w:eastAsia="仿宋_GB2312" w:cs="Times New Roman"/>
          <w:color w:val="000000" w:themeColor="text1"/>
          <w:sz w:val="32"/>
          <w:szCs w:val="32"/>
          <w14:textFill>
            <w14:solidFill>
              <w14:schemeClr w14:val="tx1"/>
            </w14:solidFill>
          </w14:textFill>
        </w:rPr>
        <w:t>25</w:t>
      </w:r>
      <w:r>
        <w:rPr>
          <w:rFonts w:hint="eastAsia" w:ascii="方正仿宋_GBK" w:hAnsi="方正仿宋_GBK" w:eastAsia="方正仿宋_GBK" w:cs="方正仿宋_GBK"/>
          <w:color w:val="000000" w:themeColor="text1"/>
          <w:sz w:val="32"/>
          <w:szCs w:val="32"/>
          <w14:textFill>
            <w14:solidFill>
              <w14:schemeClr w14:val="tx1"/>
            </w14:solidFill>
          </w14:textFill>
        </w:rPr>
        <w:t>家，其余企业零星分布在铜陵国家农业科技园区和乡镇，不利于发挥产业间协同作用和集聚效应，产业空间集聚度有待进一步提升。</w:t>
      </w:r>
      <w:r>
        <w:rPr>
          <w:rFonts w:hint="eastAsia" w:ascii="方正仿宋_GBK" w:hAnsi="方正仿宋_GBK" w:eastAsia="方正仿宋_GBK" w:cs="方正仿宋_GBK"/>
          <w:b/>
          <w:bCs/>
          <w:color w:val="000000" w:themeColor="text1"/>
          <w:sz w:val="32"/>
          <w:szCs w:val="32"/>
          <w14:textFill>
            <w14:solidFill>
              <w14:schemeClr w14:val="tx1"/>
            </w14:solidFill>
          </w14:textFill>
        </w:rPr>
        <w:t>三是龙头企业有待引培。</w:t>
      </w:r>
      <w:r>
        <w:rPr>
          <w:rFonts w:ascii="Times New Roman" w:hAnsi="Times New Roman" w:eastAsia="仿宋_GB2312" w:cs="Times New Roman"/>
          <w:color w:val="000000" w:themeColor="text1"/>
          <w:sz w:val="32"/>
          <w:szCs w:val="32"/>
          <w14:textFill>
            <w14:solidFill>
              <w14:schemeClr w14:val="tx1"/>
            </w14:solidFill>
          </w14:textFill>
        </w:rPr>
        <w:t>33</w:t>
      </w:r>
      <w:r>
        <w:rPr>
          <w:rFonts w:hint="eastAsia" w:ascii="方正仿宋_GBK" w:hAnsi="方正仿宋_GBK" w:eastAsia="方正仿宋_GBK" w:cs="方正仿宋_GBK"/>
          <w:color w:val="000000" w:themeColor="text1"/>
          <w:sz w:val="32"/>
          <w:szCs w:val="32"/>
          <w14:textFill>
            <w14:solidFill>
              <w14:schemeClr w14:val="tx1"/>
            </w14:solidFill>
          </w14:textFill>
        </w:rPr>
        <w:t>家战新企业中，亿元以下企业数量占比达</w:t>
      </w:r>
      <w:r>
        <w:rPr>
          <w:rFonts w:ascii="Times New Roman" w:hAnsi="Times New Roman" w:eastAsia="仿宋_GB2312" w:cs="Times New Roman"/>
          <w:color w:val="000000" w:themeColor="text1"/>
          <w:sz w:val="32"/>
          <w:szCs w:val="32"/>
          <w14:textFill>
            <w14:solidFill>
              <w14:schemeClr w14:val="tx1"/>
            </w14:solidFill>
          </w14:textFill>
        </w:rPr>
        <w:t>78.79%，1</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10</w:t>
      </w:r>
      <w:r>
        <w:rPr>
          <w:rFonts w:hint="eastAsia" w:ascii="方正仿宋_GBK" w:hAnsi="方正仿宋_GBK" w:eastAsia="方正仿宋_GBK" w:cs="方正仿宋_GBK"/>
          <w:color w:val="000000" w:themeColor="text1"/>
          <w:sz w:val="32"/>
          <w:szCs w:val="32"/>
          <w14:textFill>
            <w14:solidFill>
              <w14:schemeClr w14:val="tx1"/>
            </w14:solidFill>
          </w14:textFill>
        </w:rPr>
        <w:t>亿级企业仅有</w:t>
      </w:r>
      <w:r>
        <w:rPr>
          <w:rFonts w:ascii="Times New Roman" w:hAnsi="Times New Roman" w:eastAsia="仿宋_GB2312" w:cs="Times New Roman"/>
          <w:color w:val="000000" w:themeColor="text1"/>
          <w:sz w:val="32"/>
          <w:szCs w:val="32"/>
          <w14:textFill>
            <w14:solidFill>
              <w14:schemeClr w14:val="tx1"/>
            </w14:solidFill>
          </w14:textFill>
        </w:rPr>
        <w:t>7</w:t>
      </w:r>
      <w:r>
        <w:rPr>
          <w:rFonts w:hint="eastAsia" w:ascii="方正仿宋_GBK" w:hAnsi="方正仿宋_GBK" w:eastAsia="方正仿宋_GBK" w:cs="方正仿宋_GBK"/>
          <w:color w:val="000000" w:themeColor="text1"/>
          <w:sz w:val="32"/>
          <w:szCs w:val="32"/>
          <w14:textFill>
            <w14:solidFill>
              <w14:schemeClr w14:val="tx1"/>
            </w14:solidFill>
          </w14:textFill>
        </w:rPr>
        <w:t>家，</w:t>
      </w:r>
      <w:r>
        <w:rPr>
          <w:rFonts w:ascii="Times New Roman" w:hAnsi="Times New Roman" w:eastAsia="仿宋_GB2312" w:cs="Times New Roman"/>
          <w:color w:val="000000" w:themeColor="text1"/>
          <w:sz w:val="32"/>
          <w:szCs w:val="32"/>
          <w14:textFill>
            <w14:solidFill>
              <w14:schemeClr w14:val="tx1"/>
            </w14:solidFill>
          </w14:textFill>
        </w:rPr>
        <w:t>10</w:t>
      </w:r>
      <w:r>
        <w:rPr>
          <w:rFonts w:hint="eastAsia" w:ascii="方正仿宋_GBK" w:hAnsi="方正仿宋_GBK" w:eastAsia="方正仿宋_GBK" w:cs="方正仿宋_GBK"/>
          <w:color w:val="000000" w:themeColor="text1"/>
          <w:sz w:val="32"/>
          <w:szCs w:val="32"/>
          <w14:textFill>
            <w14:solidFill>
              <w14:schemeClr w14:val="tx1"/>
            </w14:solidFill>
          </w14:textFill>
        </w:rPr>
        <w:t>亿级企业暂无，招大引强、培大育强仍是义安战新产业下一步发展关注重点。</w:t>
      </w:r>
    </w:p>
    <w:p w14:paraId="259A6FE3">
      <w:pPr>
        <w:pStyle w:val="3"/>
        <w:pageBreakBefore w:val="0"/>
        <w:widowControl w:val="0"/>
        <w:kinsoku/>
        <w:wordWrap/>
        <w:overflowPunct/>
        <w:topLinePunct w:val="0"/>
        <w:autoSpaceDE/>
        <w:autoSpaceDN/>
        <w:bidi w:val="0"/>
        <w:adjustRightInd/>
        <w:snapToGrid/>
        <w:spacing w:line="590" w:lineRule="exact"/>
        <w:textAlignment w:val="auto"/>
      </w:pPr>
      <w:bookmarkStart w:id="11" w:name="_Toc76137869"/>
      <w:bookmarkStart w:id="12" w:name="_Toc76137553"/>
      <w:bookmarkStart w:id="13" w:name="_Toc76137898"/>
      <w:bookmarkStart w:id="14" w:name="_Toc9168"/>
      <w:r>
        <w:rPr>
          <w:rFonts w:hint="eastAsia" w:ascii="方正楷体_GBK" w:hAnsi="方正楷体_GBK" w:eastAsia="方正楷体_GBK" w:cs="方正楷体_GBK"/>
          <w:b w:val="0"/>
          <w:bCs/>
        </w:rPr>
        <w:t>第二节 发展形势</w:t>
      </w:r>
      <w:bookmarkEnd w:id="11"/>
      <w:bookmarkEnd w:id="12"/>
      <w:bookmarkEnd w:id="13"/>
      <w:bookmarkEnd w:id="14"/>
    </w:p>
    <w:p w14:paraId="30C31AAD">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bookmarkStart w:id="15" w:name="_Hlk74057288"/>
      <w:r>
        <w:rPr>
          <w:rFonts w:hint="eastAsia" w:ascii="方正仿宋_GBK" w:hAnsi="方正仿宋_GBK" w:eastAsia="方正仿宋_GBK" w:cs="方正仿宋_GBK"/>
          <w:color w:val="000000" w:themeColor="text1"/>
          <w:sz w:val="32"/>
          <w:szCs w:val="32"/>
          <w14:textFill>
            <w14:solidFill>
              <w14:schemeClr w14:val="tx1"/>
            </w14:solidFill>
          </w14:textFill>
        </w:rPr>
        <w:t>“十四五”时期，世界处于百年未有之大变局，新冠肺炎疫情持续蔓延，全球产业链供应链发生重大调整，新一轮科技革命和产业变革深入开展，中美战略博弈日益加剧，“碳达峰”“碳中和”日益成为全球新的政治认同和国际政治经济利益博弈手段。中国经济已</w:t>
      </w:r>
      <w:r>
        <w:rPr>
          <w:rFonts w:hint="eastAsia" w:ascii="方正仿宋_GBK" w:hAnsi="方正仿宋_GBK" w:eastAsia="方正仿宋_GBK" w:cs="方正仿宋_GBK"/>
          <w:bCs/>
          <w:color w:val="000000" w:themeColor="text1"/>
          <w:sz w:val="32"/>
          <w:szCs w:val="32"/>
          <w14:textFill>
            <w14:solidFill>
              <w14:schemeClr w14:val="tx1"/>
            </w14:solidFill>
          </w14:textFill>
        </w:rPr>
        <w:t>由高速增长阶段转向高质量发展阶段，</w:t>
      </w:r>
      <w:r>
        <w:rPr>
          <w:rFonts w:hint="eastAsia" w:ascii="方正仿宋_GBK" w:hAnsi="方正仿宋_GBK" w:eastAsia="方正仿宋_GBK" w:cs="方正仿宋_GBK"/>
          <w:color w:val="000000" w:themeColor="text1"/>
          <w:sz w:val="32"/>
          <w:szCs w:val="32"/>
          <w14:textFill>
            <w14:solidFill>
              <w14:schemeClr w14:val="tx1"/>
            </w14:solidFill>
          </w14:textFill>
        </w:rPr>
        <w:t>加快构建以国内大循环为主体、国内国际双循环相互促进的新发展格局，长三角一体化、长江经济带、“一带一路”和中部崛起战略建设全面推进。但同时不稳定、不确定性因素依然较多，影响产业高质量发展的创新、人才瓶颈仍需突破，义安区战略性新兴产业发展总体上处于充满挑战的战略机遇期。</w:t>
      </w:r>
      <w:bookmarkEnd w:id="15"/>
    </w:p>
    <w:p w14:paraId="47E33610">
      <w:pPr>
        <w:pStyle w:val="4"/>
        <w:pageBreakBefore w:val="0"/>
        <w:widowControl w:val="0"/>
        <w:kinsoku/>
        <w:wordWrap/>
        <w:overflowPunct/>
        <w:topLinePunct w:val="0"/>
        <w:autoSpaceDE/>
        <w:autoSpaceDN/>
        <w:bidi w:val="0"/>
        <w:adjustRightInd/>
        <w:snapToGrid/>
        <w:spacing w:before="0" w:after="0" w:line="590" w:lineRule="exact"/>
        <w:ind w:firstLine="640" w:firstLineChars="200"/>
        <w:textAlignment w:val="auto"/>
        <w:rPr>
          <w:rFonts w:ascii="Times New Roman" w:hAnsi="Times New Roman" w:eastAsia="黑体" w:cs="Times New Roman"/>
          <w:b w:val="0"/>
          <w:color w:val="000000" w:themeColor="text1"/>
          <w14:textFill>
            <w14:solidFill>
              <w14:schemeClr w14:val="tx1"/>
            </w14:solidFill>
          </w14:textFill>
        </w:rPr>
      </w:pPr>
      <w:bookmarkStart w:id="16" w:name="_Toc76137870"/>
      <w:bookmarkStart w:id="17" w:name="_Toc76137899"/>
      <w:r>
        <w:rPr>
          <w:rFonts w:hint="eastAsia" w:ascii="方正黑体_GBK" w:hAnsi="方正黑体_GBK" w:eastAsia="方正黑体_GBK" w:cs="方正黑体_GBK"/>
          <w:b w:val="0"/>
          <w:color w:val="000000" w:themeColor="text1"/>
          <w14:textFill>
            <w14:solidFill>
              <w14:schemeClr w14:val="tx1"/>
            </w14:solidFill>
          </w14:textFill>
        </w:rPr>
        <w:t>一、发展机遇</w:t>
      </w:r>
      <w:bookmarkEnd w:id="16"/>
      <w:bookmarkEnd w:id="17"/>
    </w:p>
    <w:p w14:paraId="729DEE22">
      <w:pPr>
        <w:pageBreakBefore w:val="0"/>
        <w:widowControl w:val="0"/>
        <w:kinsoku/>
        <w:wordWrap/>
        <w:overflowPunct/>
        <w:topLinePunct w:val="0"/>
        <w:autoSpaceDE/>
        <w:autoSpaceDN/>
        <w:bidi w:val="0"/>
        <w:adjustRightInd/>
        <w:snapToGrid/>
        <w:spacing w:line="590" w:lineRule="exact"/>
        <w:ind w:firstLine="640" w:firstLineChars="200"/>
        <w:textAlignment w:val="auto"/>
        <w:rPr>
          <w:rFonts w:ascii="Times New Roman" w:hAnsi="Times New Roman" w:eastAsia="楷体_GB2312" w:cs="Times New Roman"/>
          <w:b/>
          <w:bCs/>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（一）“两新一重”建设带来的产业提质机遇</w:t>
      </w:r>
    </w:p>
    <w:p w14:paraId="2FC584E4">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国务院总理李克强在</w:t>
      </w:r>
      <w:r>
        <w:rPr>
          <w:rFonts w:ascii="Times New Roman" w:hAnsi="Times New Roman" w:eastAsia="仿宋_GB2312" w:cs="Times New Roman"/>
          <w:color w:val="000000" w:themeColor="text1"/>
          <w:sz w:val="32"/>
          <w:szCs w:val="32"/>
          <w14:textFill>
            <w14:solidFill>
              <w14:schemeClr w14:val="tx1"/>
            </w14:solidFill>
          </w14:textFill>
        </w:rPr>
        <w:t>2020</w:t>
      </w:r>
      <w:r>
        <w:rPr>
          <w:rFonts w:hint="eastAsia" w:ascii="方正仿宋_GBK" w:hAnsi="方正仿宋_GBK" w:eastAsia="方正仿宋_GBK" w:cs="方正仿宋_GBK"/>
          <w:color w:val="000000" w:themeColor="text1"/>
          <w:sz w:val="32"/>
          <w:szCs w:val="32"/>
          <w14:textFill>
            <w14:solidFill>
              <w14:schemeClr w14:val="tx1"/>
            </w14:solidFill>
          </w14:textFill>
        </w:rPr>
        <w:t>年国务院政府工作报告中提出加强信息基础设施建设、加强新型城镇化建设和加强交通、水利等重大工程建设，有利于义安区加快发展</w:t>
      </w:r>
      <w:r>
        <w:rPr>
          <w:rFonts w:ascii="Times New Roman" w:hAnsi="Times New Roman" w:eastAsia="仿宋_GB2312" w:cs="Times New Roman"/>
          <w:color w:val="000000" w:themeColor="text1"/>
          <w:sz w:val="32"/>
          <w:szCs w:val="32"/>
          <w14:textFill>
            <w14:solidFill>
              <w14:schemeClr w14:val="tx1"/>
            </w14:solidFill>
          </w14:textFill>
        </w:rPr>
        <w:t>5G、</w:t>
      </w:r>
      <w:r>
        <w:rPr>
          <w:rFonts w:hint="eastAsia" w:ascii="方正仿宋_GBK" w:hAnsi="方正仿宋_GBK" w:eastAsia="方正仿宋_GBK" w:cs="方正仿宋_GBK"/>
          <w:color w:val="000000" w:themeColor="text1"/>
          <w:sz w:val="32"/>
          <w:szCs w:val="32"/>
          <w14:textFill>
            <w14:solidFill>
              <w14:schemeClr w14:val="tx1"/>
            </w14:solidFill>
          </w14:textFill>
        </w:rPr>
        <w:t>物联网、人工智能等领域，提升战新产业智能化、高端化发展水平。新型城镇化和重大工程建设推进带动投资、创新和产业等要素集聚；公共服务设施补短板强弱项有利于义安区提升战新产业承载能力，推动产业规模化发展。</w:t>
      </w:r>
    </w:p>
    <w:p w14:paraId="4787E017">
      <w:pPr>
        <w:pageBreakBefore w:val="0"/>
        <w:widowControl w:val="0"/>
        <w:kinsoku/>
        <w:wordWrap/>
        <w:overflowPunct/>
        <w:topLinePunct w:val="0"/>
        <w:autoSpaceDE/>
        <w:autoSpaceDN/>
        <w:bidi w:val="0"/>
        <w:adjustRightInd/>
        <w:snapToGrid/>
        <w:spacing w:line="590" w:lineRule="exact"/>
        <w:ind w:firstLine="640" w:firstLineChars="200"/>
        <w:textAlignment w:val="auto"/>
        <w:rPr>
          <w:rFonts w:ascii="Times New Roman" w:hAnsi="Times New Roman" w:eastAsia="楷体_GB2312" w:cs="Times New Roman"/>
          <w:b/>
          <w:bCs/>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（二）长三角一体化发展带来的产业合作机遇</w:t>
      </w:r>
    </w:p>
    <w:p w14:paraId="42ACB436">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长三角一体化发展上升为国家战略，区域产业转移和协作进入新发展阶段，省际产业合作示范园区建设进程加快，为义安区承接长三角地区新能源汽车核心零部件、电子信息、高端装备等新兴产业转移、重大科技成果转化及加强与长三角城市产业协作提供便利。长三角一体化战略提出推进跨区域合作体制机制一体化，为义安区建立承接长三角创新、产业等资源转移的长效机制创造条件，有利于义安区与沪苏浙等地重点城市加强产业园区合作共建，形成合作共赢的良好局面。</w:t>
      </w:r>
    </w:p>
    <w:p w14:paraId="768A5DFF">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（三）合肥都市圈建设带来的动能提升机遇</w:t>
      </w:r>
    </w:p>
    <w:p w14:paraId="3544EC6F">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合肥市经济总量迈上万亿新台阶后，合肥都市圈产业和技术创新的辐射带动作用将明显增强，</w:t>
      </w:r>
      <w:r>
        <w:rPr>
          <w:rFonts w:ascii="Times New Roman" w:hAnsi="Times New Roman" w:eastAsia="仿宋_GB2312" w:cs="Times New Roman"/>
          <w:color w:val="000000" w:themeColor="text1"/>
          <w:sz w:val="32"/>
          <w:szCs w:val="32"/>
          <w14:textFill>
            <w14:solidFill>
              <w14:schemeClr w14:val="tx1"/>
            </w14:solidFill>
          </w14:textFill>
        </w:rPr>
        <w:t>2021</w:t>
      </w:r>
      <w:r>
        <w:rPr>
          <w:rFonts w:hint="eastAsia" w:ascii="方正仿宋_GBK" w:hAnsi="方正仿宋_GBK" w:eastAsia="方正仿宋_GBK" w:cs="方正仿宋_GBK"/>
          <w:color w:val="000000" w:themeColor="text1"/>
          <w:sz w:val="32"/>
          <w:szCs w:val="32"/>
          <w14:textFill>
            <w14:solidFill>
              <w14:schemeClr w14:val="tx1"/>
            </w14:solidFill>
          </w14:textFill>
        </w:rPr>
        <w:t>年</w:t>
      </w:r>
      <w:r>
        <w:rPr>
          <w:rFonts w:ascii="Times New Roman" w:hAnsi="Times New Roman" w:eastAsia="仿宋_GB2312" w:cs="Times New Roman"/>
          <w:color w:val="000000" w:themeColor="text1"/>
          <w:sz w:val="32"/>
          <w:szCs w:val="32"/>
          <w14:textFill>
            <w14:solidFill>
              <w14:schemeClr w14:val="tx1"/>
            </w14:solidFill>
          </w14:textFill>
        </w:rPr>
        <w:t>6</w:t>
      </w:r>
      <w:r>
        <w:rPr>
          <w:rFonts w:hint="eastAsia" w:ascii="方正仿宋_GBK" w:hAnsi="方正仿宋_GBK" w:eastAsia="方正仿宋_GBK" w:cs="方正仿宋_GBK"/>
          <w:color w:val="000000" w:themeColor="text1"/>
          <w:sz w:val="32"/>
          <w:szCs w:val="32"/>
          <w14:textFill>
            <w14:solidFill>
              <w14:schemeClr w14:val="tx1"/>
            </w14:solidFill>
          </w14:textFill>
        </w:rPr>
        <w:t>月</w:t>
      </w:r>
      <w:r>
        <w:rPr>
          <w:rFonts w:ascii="Times New Roman" w:hAnsi="Times New Roman" w:eastAsia="仿宋_GB2312" w:cs="Times New Roman"/>
          <w:color w:val="000000" w:themeColor="text1"/>
          <w:sz w:val="32"/>
          <w:szCs w:val="32"/>
          <w14:textFill>
            <w14:solidFill>
              <w14:schemeClr w14:val="tx1"/>
            </w14:solidFill>
          </w14:textFill>
        </w:rPr>
        <w:t>25</w:t>
      </w:r>
      <w:r>
        <w:rPr>
          <w:rFonts w:hint="eastAsia" w:ascii="方正仿宋_GBK" w:hAnsi="方正仿宋_GBK" w:eastAsia="方正仿宋_GBK" w:cs="方正仿宋_GBK"/>
          <w:color w:val="000000" w:themeColor="text1"/>
          <w:sz w:val="32"/>
          <w:szCs w:val="32"/>
          <w14:textFill>
            <w14:solidFill>
              <w14:schemeClr w14:val="tx1"/>
            </w14:solidFill>
          </w14:textFill>
        </w:rPr>
        <w:t>日，合肥都市圈建设领导小组办公室（省发展改革委）在合肥市组织召开《铜陵市加入合肥都市圈可行性研究报告》，铜陵有望加入合肥都市圈，有利于义安承接合肥创新、人才和产业等资源辐射，实现与合肥产业协同、创新联动发展，释放义安战新产业发展新动能。</w:t>
      </w:r>
    </w:p>
    <w:p w14:paraId="302F2E46">
      <w:pPr>
        <w:pStyle w:val="4"/>
        <w:pageBreakBefore w:val="0"/>
        <w:widowControl w:val="0"/>
        <w:kinsoku/>
        <w:wordWrap/>
        <w:overflowPunct/>
        <w:topLinePunct w:val="0"/>
        <w:autoSpaceDE/>
        <w:autoSpaceDN/>
        <w:bidi w:val="0"/>
        <w:adjustRightInd/>
        <w:snapToGrid/>
        <w:spacing w:before="0" w:after="0" w:line="590" w:lineRule="exact"/>
        <w:ind w:firstLine="640" w:firstLineChars="200"/>
        <w:textAlignment w:val="auto"/>
        <w:rPr>
          <w:rFonts w:hint="eastAsia" w:ascii="方正黑体_GBK" w:hAnsi="方正黑体_GBK" w:eastAsia="方正黑体_GBK" w:cs="方正黑体_GBK"/>
          <w:b w:val="0"/>
          <w:color w:val="000000" w:themeColor="text1"/>
          <w14:textFill>
            <w14:solidFill>
              <w14:schemeClr w14:val="tx1"/>
            </w14:solidFill>
          </w14:textFill>
        </w:rPr>
      </w:pPr>
      <w:bookmarkStart w:id="18" w:name="_Toc76137900"/>
      <w:bookmarkStart w:id="19" w:name="_Toc76137871"/>
      <w:r>
        <w:rPr>
          <w:rFonts w:hint="eastAsia" w:ascii="方正黑体_GBK" w:hAnsi="方正黑体_GBK" w:eastAsia="方正黑体_GBK" w:cs="方正黑体_GBK"/>
          <w:b w:val="0"/>
          <w:color w:val="000000" w:themeColor="text1"/>
          <w14:textFill>
            <w14:solidFill>
              <w14:schemeClr w14:val="tx1"/>
            </w14:solidFill>
          </w14:textFill>
        </w:rPr>
        <w:t>二、面临挑战</w:t>
      </w:r>
      <w:bookmarkEnd w:id="18"/>
      <w:bookmarkEnd w:id="19"/>
    </w:p>
    <w:p w14:paraId="1D0F0601">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（一）区域竞争日益激烈带来的挑战</w:t>
      </w:r>
    </w:p>
    <w:p w14:paraId="64660E48">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与周边长三角城市区县相比，义安区在战略性新兴产业规模、层次、能级及产业承载能力等方面存在较大差距，还未完全融入长三角高端产业体系。义安区在争夺高端产业资源、创新资源、人才资源等方面处于相对劣势地位，激烈的区域竞争在一定程度上挤占了义安区战新产业高质量发展空间。</w:t>
      </w:r>
    </w:p>
    <w:p w14:paraId="3A3EC9A8">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（二）产业配套不足带来的挑战</w:t>
      </w:r>
    </w:p>
    <w:p w14:paraId="15CB0248">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完善的配套体系是产业高质量发展的重要条件，义安区开发区建设尚处于起步阶段，相关公共创新平台、公共服务平台、投融资平台及高端人才服务等配套不完善，企业研发投入强度较低，制约战新产业高质量发展。随着义安区深度融入长三角一体化，入驻企业和产业人口增多，现有教育、医疗、居住、娱乐休闲等公共服务供给难以满足中高层次人才安居乐业需求，不利于产业的创新发展和能级提升。</w:t>
      </w:r>
    </w:p>
    <w:p w14:paraId="28234C3D">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（三）大城市“虹吸效应”带来的挑战</w:t>
      </w:r>
    </w:p>
    <w:p w14:paraId="6D308FF5">
      <w:pPr>
        <w:pageBreakBefore w:val="0"/>
        <w:widowControl w:val="0"/>
        <w:kinsoku/>
        <w:wordWrap/>
        <w:overflowPunct/>
        <w:topLinePunct w:val="0"/>
        <w:autoSpaceDE/>
        <w:autoSpaceDN/>
        <w:bidi w:val="0"/>
        <w:adjustRightInd/>
        <w:snapToGrid/>
        <w:spacing w:line="59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随着城市化进程的快速推进，南京、杭州等大城市在产业基础、创新实力和基础设施等方面具备领先优势，“虹吸效应”较为明显，推动先进技术、高端人才等优势资源不断聚集，合肥、芜湖等省内城市发展速度加快，市内铜官区发展也不断加速，使得义安区在高层次人才、创新资源和产业资源引进方面面临更多考验，战新产业发展、优质项目招商引资、高端人才引留也面临更多压力。</w:t>
      </w:r>
    </w:p>
    <w:p w14:paraId="7B0F9500">
      <w:pPr>
        <w:pStyle w:val="2"/>
        <w:pageBreakBefore w:val="0"/>
        <w:widowControl w:val="0"/>
        <w:kinsoku/>
        <w:wordWrap/>
        <w:overflowPunct/>
        <w:topLinePunct w:val="0"/>
        <w:autoSpaceDE/>
        <w:autoSpaceDN/>
        <w:bidi w:val="0"/>
        <w:adjustRightInd/>
        <w:snapToGrid/>
        <w:spacing w:line="590" w:lineRule="exact"/>
        <w:textAlignment w:val="auto"/>
        <w:rPr>
          <w:rFonts w:hint="eastAsia" w:ascii="方正黑体_GBK" w:hAnsi="方正黑体_GBK" w:eastAsia="方正黑体_GBK" w:cs="方正黑体_GBK"/>
          <w:b/>
          <w:kern w:val="2"/>
          <w:sz w:val="44"/>
        </w:rPr>
      </w:pPr>
      <w:bookmarkStart w:id="20" w:name="_Toc76137901"/>
      <w:bookmarkStart w:id="21" w:name="_Toc76137554"/>
      <w:bookmarkStart w:id="22" w:name="_Toc76137872"/>
      <w:bookmarkStart w:id="23" w:name="_Toc19673"/>
      <w:r>
        <w:rPr>
          <w:rFonts w:hint="eastAsia" w:ascii="方正黑体_GBK" w:hAnsi="方正黑体_GBK" w:eastAsia="方正黑体_GBK" w:cs="方正黑体_GBK"/>
        </w:rPr>
        <w:t>第二章 总体思路</w:t>
      </w:r>
      <w:bookmarkEnd w:id="20"/>
      <w:bookmarkEnd w:id="21"/>
      <w:bookmarkEnd w:id="22"/>
      <w:bookmarkEnd w:id="23"/>
    </w:p>
    <w:p w14:paraId="1FD40987">
      <w:pPr>
        <w:pStyle w:val="3"/>
        <w:pageBreakBefore w:val="0"/>
        <w:widowControl w:val="0"/>
        <w:kinsoku/>
        <w:wordWrap/>
        <w:overflowPunct/>
        <w:topLinePunct w:val="0"/>
        <w:autoSpaceDE/>
        <w:autoSpaceDN/>
        <w:bidi w:val="0"/>
        <w:adjustRightInd/>
        <w:snapToGrid/>
        <w:spacing w:line="590" w:lineRule="exact"/>
        <w:textAlignment w:val="auto"/>
        <w:rPr>
          <w:rFonts w:hint="eastAsia" w:ascii="方正楷体_GBK" w:hAnsi="方正楷体_GBK" w:eastAsia="方正楷体_GBK" w:cs="方正楷体_GBK"/>
          <w:b w:val="0"/>
          <w:bCs/>
        </w:rPr>
      </w:pPr>
      <w:bookmarkStart w:id="24" w:name="_Toc76137902"/>
      <w:bookmarkStart w:id="25" w:name="_Toc76137555"/>
      <w:bookmarkStart w:id="26" w:name="_Toc76137873"/>
      <w:bookmarkStart w:id="27" w:name="_Toc8112"/>
      <w:r>
        <w:rPr>
          <w:rFonts w:hint="eastAsia" w:ascii="方正楷体_GBK" w:hAnsi="方正楷体_GBK" w:eastAsia="方正楷体_GBK" w:cs="方正楷体_GBK"/>
          <w:b w:val="0"/>
          <w:bCs/>
        </w:rPr>
        <w:t>第一节 指导思想</w:t>
      </w:r>
      <w:bookmarkEnd w:id="24"/>
      <w:bookmarkEnd w:id="25"/>
      <w:bookmarkEnd w:id="26"/>
      <w:bookmarkEnd w:id="27"/>
    </w:p>
    <w:p w14:paraId="247E4282">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b/>
          <w:bCs/>
          <w:color w:val="000000" w:themeColor="text1"/>
          <w:sz w:val="32"/>
          <w:szCs w:val="32"/>
          <w14:textFill>
            <w14:solidFill>
              <w14:schemeClr w14:val="tx1"/>
            </w14:solidFill>
          </w14:textFill>
        </w:rPr>
      </w:pPr>
      <w:r>
        <w:rPr>
          <w:rFonts w:hint="eastAsia" w:ascii="方正仿宋_GBK" w:hAnsi="方正仿宋_GBK" w:eastAsia="方正仿宋_GBK" w:cs="方正仿宋_GBK"/>
          <w:bCs/>
          <w:color w:val="000000" w:themeColor="text1"/>
          <w:sz w:val="32"/>
          <w:szCs w:val="32"/>
          <w14:textFill>
            <w14:solidFill>
              <w14:schemeClr w14:val="tx1"/>
            </w14:solidFill>
          </w14:textFill>
        </w:rPr>
        <w:t>高举中国特色社会主义伟大旗帜，</w:t>
      </w:r>
      <w:r>
        <w:rPr>
          <w:rFonts w:hint="eastAsia" w:ascii="方正仿宋_GBK" w:hAnsi="方正仿宋_GBK" w:eastAsia="方正仿宋_GBK" w:cs="方正仿宋_GBK"/>
          <w:color w:val="000000" w:themeColor="text1"/>
          <w:sz w:val="32"/>
          <w:szCs w:val="32"/>
          <w14:textFill>
            <w14:solidFill>
              <w14:schemeClr w14:val="tx1"/>
            </w14:solidFill>
          </w14:textFill>
        </w:rPr>
        <w:t>以习近平新时代中国特色社会主义思想为指导，全面贯彻党的十九大和十九届二中、三中、四中、五中、六中全会精神，深入贯彻落实习近平总书记视察安徽重要讲话指示精神，学习贯彻安徽省第十一届党代会精神，</w:t>
      </w:r>
      <w:r>
        <w:rPr>
          <w:rFonts w:hint="eastAsia" w:ascii="方正仿宋_GBK" w:hAnsi="方正仿宋_GBK" w:eastAsia="方正仿宋_GBK" w:cs="方正仿宋_GBK"/>
          <w:sz w:val="32"/>
          <w:szCs w:val="32"/>
        </w:rPr>
        <w:t>坚定不移贯彻新发展理念，增强系统性思维，紧扣一体化和高质量两个关键词，以产业融合化、集群化、生态化为中心，</w:t>
      </w:r>
      <w:r>
        <w:rPr>
          <w:rFonts w:hint="eastAsia" w:ascii="方正仿宋_GBK" w:hAnsi="方正仿宋_GBK" w:eastAsia="方正仿宋_GBK" w:cs="方正仿宋_GBK"/>
          <w:color w:val="000000" w:themeColor="text1"/>
          <w:sz w:val="32"/>
          <w:szCs w:val="32"/>
          <w14:textFill>
            <w14:solidFill>
              <w14:schemeClr w14:val="tx1"/>
            </w14:solidFill>
          </w14:textFill>
        </w:rPr>
        <w:t>以改革创新为根本动力，以产业链现代化、创新链协同化、供应链适配化、资金链多元化、人才链自主化为主线，着力打造“</w:t>
      </w:r>
      <w:r>
        <w:rPr>
          <w:rFonts w:ascii="Times New Roman" w:hAnsi="Times New Roman" w:eastAsia="仿宋_GB2312" w:cs="Times New Roman"/>
          <w:color w:val="000000" w:themeColor="text1"/>
          <w:sz w:val="32"/>
          <w:szCs w:val="32"/>
          <w14:textFill>
            <w14:solidFill>
              <w14:schemeClr w14:val="tx1"/>
            </w14:solidFill>
          </w14:textFill>
        </w:rPr>
        <w:t>133</w:t>
      </w:r>
      <w:r>
        <w:rPr>
          <w:rFonts w:hint="eastAsia" w:ascii="方正仿宋_GBK" w:hAnsi="方正仿宋_GBK" w:eastAsia="方正仿宋_GBK" w:cs="方正仿宋_GBK"/>
          <w:color w:val="000000" w:themeColor="text1"/>
          <w:sz w:val="32"/>
          <w:szCs w:val="32"/>
          <w14:textFill>
            <w14:solidFill>
              <w14:schemeClr w14:val="tx1"/>
            </w14:solidFill>
          </w14:textFill>
        </w:rPr>
        <w:t>”产业体系，加快培育特色优势产业集群，打造义安特色产业链条。实施高水平对外开放，强化与长三角先进地区协调联动合作，加快协同创新产业体系共建共赢，奋力构筑安徽省战新产业发展新高地，力推战略性新兴产业成为国民经济增长的主动脉和主力军。</w:t>
      </w:r>
    </w:p>
    <w:p w14:paraId="1ACA2D20">
      <w:pPr>
        <w:pStyle w:val="3"/>
        <w:pageBreakBefore w:val="0"/>
        <w:widowControl w:val="0"/>
        <w:kinsoku/>
        <w:wordWrap/>
        <w:overflowPunct/>
        <w:topLinePunct w:val="0"/>
        <w:autoSpaceDE/>
        <w:autoSpaceDN/>
        <w:bidi w:val="0"/>
        <w:adjustRightInd/>
        <w:snapToGrid/>
        <w:spacing w:line="590" w:lineRule="exact"/>
        <w:textAlignment w:val="auto"/>
        <w:rPr>
          <w:rFonts w:hint="eastAsia" w:ascii="方正楷体_GBK" w:hAnsi="方正楷体_GBK" w:eastAsia="方正楷体_GBK" w:cs="方正楷体_GBK"/>
          <w:b w:val="0"/>
          <w:bCs/>
        </w:rPr>
      </w:pPr>
      <w:bookmarkStart w:id="28" w:name="_Toc76137903"/>
      <w:bookmarkStart w:id="29" w:name="_Toc10054"/>
      <w:bookmarkStart w:id="30" w:name="_Toc76137874"/>
      <w:bookmarkStart w:id="31" w:name="_Toc76137556"/>
      <w:r>
        <w:rPr>
          <w:rFonts w:hint="eastAsia" w:ascii="方正楷体_GBK" w:hAnsi="方正楷体_GBK" w:eastAsia="方正楷体_GBK" w:cs="方正楷体_GBK"/>
          <w:b w:val="0"/>
          <w:bCs/>
        </w:rPr>
        <w:t>第二节 发展目标</w:t>
      </w:r>
      <w:bookmarkEnd w:id="28"/>
      <w:bookmarkEnd w:id="29"/>
      <w:bookmarkEnd w:id="30"/>
      <w:bookmarkEnd w:id="31"/>
    </w:p>
    <w:p w14:paraId="5931EB6E">
      <w:pPr>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b/>
          <w:bCs/>
          <w:color w:val="000000" w:themeColor="text1"/>
          <w:sz w:val="32"/>
          <w:szCs w:val="32"/>
          <w14:textFill>
            <w14:solidFill>
              <w14:schemeClr w14:val="tx1"/>
            </w14:solidFill>
          </w14:textFill>
        </w:rPr>
        <w:t>——产业规模实现新跃升。</w:t>
      </w:r>
      <w:r>
        <w:rPr>
          <w:rFonts w:hint="eastAsia" w:ascii="方正仿宋_GBK" w:hAnsi="方正仿宋_GBK" w:eastAsia="方正仿宋_GBK" w:cs="方正仿宋_GBK"/>
          <w:color w:val="000000" w:themeColor="text1"/>
          <w:sz w:val="32"/>
          <w:szCs w:val="32"/>
          <w14:textFill>
            <w14:solidFill>
              <w14:schemeClr w14:val="tx1"/>
            </w14:solidFill>
          </w14:textFill>
        </w:rPr>
        <w:t>力争“十四五”末，全区战新产业产值达</w:t>
      </w:r>
      <w:r>
        <w:rPr>
          <w:rFonts w:ascii="Times New Roman" w:hAnsi="Times New Roman" w:eastAsia="仿宋_GB2312" w:cs="Times New Roman"/>
          <w:color w:val="000000" w:themeColor="text1"/>
          <w:sz w:val="32"/>
          <w:szCs w:val="32"/>
          <w14:textFill>
            <w14:solidFill>
              <w14:schemeClr w14:val="tx1"/>
            </w14:solidFill>
          </w14:textFill>
        </w:rPr>
        <w:t>105</w:t>
      </w:r>
      <w:r>
        <w:rPr>
          <w:rFonts w:hint="eastAsia" w:ascii="方正仿宋_GBK" w:hAnsi="方正仿宋_GBK" w:eastAsia="方正仿宋_GBK" w:cs="方正仿宋_GBK"/>
          <w:color w:val="000000" w:themeColor="text1"/>
          <w:sz w:val="32"/>
          <w:szCs w:val="32"/>
          <w14:textFill>
            <w14:solidFill>
              <w14:schemeClr w14:val="tx1"/>
            </w14:solidFill>
          </w14:textFill>
        </w:rPr>
        <w:t>亿元，年均增速</w:t>
      </w:r>
      <w:r>
        <w:rPr>
          <w:rFonts w:ascii="Times New Roman" w:hAnsi="Times New Roman" w:eastAsia="仿宋_GB2312" w:cs="Times New Roman"/>
          <w:color w:val="000000" w:themeColor="text1"/>
          <w:sz w:val="32"/>
          <w:szCs w:val="32"/>
          <w14:textFill>
            <w14:solidFill>
              <w14:schemeClr w14:val="tx1"/>
            </w14:solidFill>
          </w14:textFill>
        </w:rPr>
        <w:t>24%</w:t>
      </w:r>
      <w:r>
        <w:rPr>
          <w:rFonts w:hint="eastAsia" w:ascii="方正仿宋_GBK" w:hAnsi="方正仿宋_GBK" w:eastAsia="方正仿宋_GBK" w:cs="方正仿宋_GBK"/>
          <w:color w:val="000000" w:themeColor="text1"/>
          <w:sz w:val="32"/>
          <w:szCs w:val="32"/>
          <w14:textFill>
            <w14:solidFill>
              <w14:schemeClr w14:val="tx1"/>
            </w14:solidFill>
          </w14:textFill>
        </w:rPr>
        <w:t>左右，战新产业产值在规模上工业总产值中占比达到</w:t>
      </w:r>
      <w:r>
        <w:rPr>
          <w:rFonts w:hint="eastAsia" w:ascii="Times New Roman" w:hAnsi="Times New Roman" w:eastAsia="仿宋_GB2312" w:cs="Times New Roman"/>
          <w:color w:val="000000" w:themeColor="text1"/>
          <w:sz w:val="32"/>
          <w:szCs w:val="32"/>
          <w14:textFill>
            <w14:solidFill>
              <w14:schemeClr w14:val="tx1"/>
            </w14:solidFill>
          </w14:textFill>
        </w:rPr>
        <w:t>3</w:t>
      </w:r>
      <w:r>
        <w:rPr>
          <w:rFonts w:ascii="Times New Roman" w:hAnsi="Times New Roman" w:eastAsia="仿宋_GB2312" w:cs="Times New Roman"/>
          <w:color w:val="000000" w:themeColor="text1"/>
          <w:sz w:val="32"/>
          <w:szCs w:val="32"/>
          <w14:textFill>
            <w14:solidFill>
              <w14:schemeClr w14:val="tx1"/>
            </w14:solidFill>
          </w14:textFill>
        </w:rPr>
        <w:t>0%，</w:t>
      </w:r>
      <w:r>
        <w:rPr>
          <w:rFonts w:hint="eastAsia" w:ascii="方正仿宋_GBK" w:hAnsi="方正仿宋_GBK" w:eastAsia="方正仿宋_GBK" w:cs="方正仿宋_GBK"/>
          <w:color w:val="000000" w:themeColor="text1"/>
          <w:sz w:val="32"/>
          <w:szCs w:val="32"/>
          <w14:textFill>
            <w14:solidFill>
              <w14:schemeClr w14:val="tx1"/>
            </w14:solidFill>
          </w14:textFill>
        </w:rPr>
        <w:t>战新企业数量翻一番，产业基础高级化、产业链现代化水平得到显著提升，实现全区战略性新兴产业体量的新跃升。</w:t>
      </w:r>
    </w:p>
    <w:p w14:paraId="6B21CDC0">
      <w:pPr>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b/>
          <w:bCs/>
          <w:color w:val="000000" w:themeColor="text1"/>
          <w:sz w:val="32"/>
          <w:szCs w:val="32"/>
          <w14:textFill>
            <w14:solidFill>
              <w14:schemeClr w14:val="tx1"/>
            </w14:solidFill>
          </w14:textFill>
        </w:rPr>
      </w:pPr>
      <w:r>
        <w:rPr>
          <w:rFonts w:hint="eastAsia" w:ascii="方正仿宋_GBK" w:hAnsi="方正仿宋_GBK" w:eastAsia="方正仿宋_GBK" w:cs="方正仿宋_GBK"/>
          <w:b/>
          <w:bCs/>
          <w:color w:val="000000" w:themeColor="text1"/>
          <w:sz w:val="32"/>
          <w:szCs w:val="32"/>
          <w14:textFill>
            <w14:solidFill>
              <w14:schemeClr w14:val="tx1"/>
            </w14:solidFill>
          </w14:textFill>
        </w:rPr>
        <w:t>——产业能级实现新跨越。</w:t>
      </w:r>
      <w:r>
        <w:rPr>
          <w:rFonts w:hint="eastAsia" w:ascii="方正仿宋_GBK" w:hAnsi="方正仿宋_GBK" w:eastAsia="方正仿宋_GBK" w:cs="方正仿宋_GBK"/>
          <w:color w:val="000000" w:themeColor="text1"/>
          <w:sz w:val="32"/>
          <w:szCs w:val="32"/>
          <w14:textFill>
            <w14:solidFill>
              <w14:schemeClr w14:val="tx1"/>
            </w14:solidFill>
          </w14:textFill>
        </w:rPr>
        <w:t>围绕新材料、新一代信息技术、高端装备制造及绿色食品四大主导产业精准发力，力争“十四五”末，打造形成百亿级新材料产业集群，打响“智造义安”新名片，积极争创省级（国家级）战略性新兴产业基地，战新产业发展质量实现新跨越。</w:t>
      </w:r>
    </w:p>
    <w:p w14:paraId="0ADF2315">
      <w:pPr>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b/>
          <w:bCs/>
          <w:color w:val="000000" w:themeColor="text1"/>
          <w:sz w:val="32"/>
          <w:szCs w:val="32"/>
          <w14:textFill>
            <w14:solidFill>
              <w14:schemeClr w14:val="tx1"/>
            </w14:solidFill>
          </w14:textFill>
        </w:rPr>
        <w:t>——创新能力取得新突破。</w:t>
      </w:r>
      <w:r>
        <w:rPr>
          <w:rFonts w:hint="eastAsia" w:ascii="方正仿宋_GBK" w:hAnsi="方正仿宋_GBK" w:eastAsia="方正仿宋_GBK" w:cs="方正仿宋_GBK"/>
          <w:color w:val="000000" w:themeColor="text1"/>
          <w:sz w:val="32"/>
          <w:szCs w:val="32"/>
          <w14:textFill>
            <w14:solidFill>
              <w14:schemeClr w14:val="tx1"/>
            </w14:solidFill>
          </w14:textFill>
        </w:rPr>
        <w:t>力争“十四五”末，创新要素进一步集聚，研发投入规模和强度不断提升，研发与试验发展经费投入强度达到</w:t>
      </w:r>
      <w:r>
        <w:rPr>
          <w:rFonts w:ascii="Times New Roman" w:hAnsi="Times New Roman" w:eastAsia="仿宋_GB2312" w:cs="Times New Roman"/>
          <w:color w:val="000000" w:themeColor="text1"/>
          <w:sz w:val="32"/>
          <w:szCs w:val="32"/>
          <w14:textFill>
            <w14:solidFill>
              <w14:schemeClr w14:val="tx1"/>
            </w14:solidFill>
          </w14:textFill>
        </w:rPr>
        <w:t>2.5%；</w:t>
      </w:r>
      <w:r>
        <w:rPr>
          <w:rFonts w:hint="eastAsia" w:ascii="方正仿宋_GBK" w:hAnsi="方正仿宋_GBK" w:eastAsia="方正仿宋_GBK" w:cs="方正仿宋_GBK"/>
          <w:color w:val="000000" w:themeColor="text1"/>
          <w:sz w:val="32"/>
          <w:szCs w:val="32"/>
          <w14:textFill>
            <w14:solidFill>
              <w14:schemeClr w14:val="tx1"/>
            </w14:solidFill>
          </w14:textFill>
        </w:rPr>
        <w:t>每万人口发明专利拥有量达到</w:t>
      </w:r>
      <w:r>
        <w:rPr>
          <w:rFonts w:ascii="Times New Roman" w:hAnsi="Times New Roman" w:eastAsia="仿宋_GB2312" w:cs="Times New Roman"/>
          <w:color w:val="000000" w:themeColor="text1"/>
          <w:sz w:val="32"/>
          <w:szCs w:val="32"/>
          <w14:textFill>
            <w14:solidFill>
              <w14:schemeClr w14:val="tx1"/>
            </w14:solidFill>
          </w14:textFill>
        </w:rPr>
        <w:t>25</w:t>
      </w:r>
      <w:r>
        <w:rPr>
          <w:rFonts w:hint="eastAsia" w:ascii="方正仿宋_GBK" w:hAnsi="方正仿宋_GBK" w:eastAsia="方正仿宋_GBK" w:cs="方正仿宋_GBK"/>
          <w:color w:val="000000" w:themeColor="text1"/>
          <w:sz w:val="32"/>
          <w:szCs w:val="32"/>
          <w14:textFill>
            <w14:solidFill>
              <w14:schemeClr w14:val="tx1"/>
            </w14:solidFill>
          </w14:textFill>
        </w:rPr>
        <w:t>件；高新技术产业产值在规模以上工业产值中占比达</w:t>
      </w:r>
      <w:r>
        <w:rPr>
          <w:rFonts w:ascii="Times New Roman" w:hAnsi="Times New Roman" w:eastAsia="仿宋_GB2312" w:cs="Times New Roman"/>
          <w:color w:val="000000" w:themeColor="text1"/>
          <w:sz w:val="32"/>
          <w:szCs w:val="32"/>
          <w14:textFill>
            <w14:solidFill>
              <w14:schemeClr w14:val="tx1"/>
            </w14:solidFill>
          </w14:textFill>
        </w:rPr>
        <w:t>40%，</w:t>
      </w:r>
      <w:r>
        <w:rPr>
          <w:rFonts w:hint="eastAsia" w:ascii="方正仿宋_GBK" w:hAnsi="方正仿宋_GBK" w:eastAsia="方正仿宋_GBK" w:cs="方正仿宋_GBK"/>
          <w:color w:val="000000" w:themeColor="text1"/>
          <w:sz w:val="32"/>
          <w:szCs w:val="32"/>
          <w14:textFill>
            <w14:solidFill>
              <w14:schemeClr w14:val="tx1"/>
            </w14:solidFill>
          </w14:textFill>
        </w:rPr>
        <w:t>高新技术企业数实现双倍增，企业创新能力显著提升。</w:t>
      </w:r>
    </w:p>
    <w:p w14:paraId="2D519880">
      <w:pPr>
        <w:pageBreakBefore w:val="0"/>
        <w:widowControl w:val="0"/>
        <w:kinsoku/>
        <w:wordWrap/>
        <w:overflowPunct/>
        <w:topLinePunct w:val="0"/>
        <w:autoSpaceDE/>
        <w:autoSpaceDN/>
        <w:bidi w:val="0"/>
        <w:adjustRightInd/>
        <w:snapToGrid/>
        <w:spacing w:line="590" w:lineRule="exact"/>
        <w:ind w:firstLine="686"/>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b/>
          <w:bCs/>
          <w:color w:val="000000" w:themeColor="text1"/>
          <w:sz w:val="32"/>
          <w:szCs w:val="32"/>
          <w14:textFill>
            <w14:solidFill>
              <w14:schemeClr w14:val="tx1"/>
            </w14:solidFill>
          </w14:textFill>
        </w:rPr>
        <w:t>——开放水平取得新提升。</w:t>
      </w:r>
      <w:r>
        <w:rPr>
          <w:rFonts w:hint="eastAsia" w:ascii="方正仿宋_GBK" w:hAnsi="方正仿宋_GBK" w:eastAsia="方正仿宋_GBK" w:cs="方正仿宋_GBK"/>
          <w:color w:val="000000" w:themeColor="text1"/>
          <w:sz w:val="32"/>
          <w:szCs w:val="32"/>
          <w14:textFill>
            <w14:solidFill>
              <w14:schemeClr w14:val="tx1"/>
            </w14:solidFill>
          </w14:textFill>
        </w:rPr>
        <w:t>更大范围、更高层次参与长三角一体化发展，到“十四五”末，引进战新企业和亿元以上重大项目数量进一步攀升，与更多长三角城市签订战略合作协议，新建</w:t>
      </w:r>
      <w:r>
        <w:rPr>
          <w:rFonts w:ascii="Times New Roman" w:hAnsi="Times New Roman" w:eastAsia="仿宋_GB2312" w:cs="Times New Roman"/>
          <w:color w:val="000000" w:themeColor="text1"/>
          <w:sz w:val="32"/>
          <w:szCs w:val="32"/>
          <w14:textFill>
            <w14:solidFill>
              <w14:schemeClr w14:val="tx1"/>
            </w14:solidFill>
          </w14:textFill>
        </w:rPr>
        <w:t>1</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2</w:t>
      </w:r>
      <w:r>
        <w:rPr>
          <w:rFonts w:hint="eastAsia" w:ascii="方正仿宋_GBK" w:hAnsi="方正仿宋_GBK" w:eastAsia="方正仿宋_GBK" w:cs="方正仿宋_GBK"/>
          <w:color w:val="000000" w:themeColor="text1"/>
          <w:sz w:val="32"/>
          <w:szCs w:val="32"/>
          <w14:textFill>
            <w14:solidFill>
              <w14:schemeClr w14:val="tx1"/>
            </w14:solidFill>
          </w14:textFill>
        </w:rPr>
        <w:t>个优质合作共建园区；省际合作园区建设水平和开放水平实现“双提升”。外贸进出口总额年均增长</w:t>
      </w:r>
      <w:r>
        <w:rPr>
          <w:rFonts w:ascii="Times New Roman" w:hAnsi="Times New Roman" w:eastAsia="仿宋_GB2312" w:cs="Times New Roman"/>
          <w:color w:val="000000" w:themeColor="text1"/>
          <w:sz w:val="32"/>
          <w:szCs w:val="32"/>
          <w14:textFill>
            <w14:solidFill>
              <w14:schemeClr w14:val="tx1"/>
            </w14:solidFill>
          </w14:textFill>
        </w:rPr>
        <w:t>20%，</w:t>
      </w:r>
      <w:r>
        <w:rPr>
          <w:rFonts w:hint="eastAsia" w:ascii="方正仿宋_GBK" w:hAnsi="方正仿宋_GBK" w:eastAsia="方正仿宋_GBK" w:cs="方正仿宋_GBK"/>
          <w:color w:val="000000" w:themeColor="text1"/>
          <w:sz w:val="32"/>
          <w:szCs w:val="32"/>
          <w14:textFill>
            <w14:solidFill>
              <w14:schemeClr w14:val="tx1"/>
            </w14:solidFill>
          </w14:textFill>
        </w:rPr>
        <w:t>实际利用外资稳步增长。</w:t>
      </w:r>
    </w:p>
    <w:p w14:paraId="2E541EFF">
      <w:pPr>
        <w:pStyle w:val="2"/>
        <w:pageBreakBefore w:val="0"/>
        <w:widowControl w:val="0"/>
        <w:kinsoku/>
        <w:wordWrap/>
        <w:overflowPunct/>
        <w:topLinePunct w:val="0"/>
        <w:autoSpaceDE/>
        <w:autoSpaceDN/>
        <w:bidi w:val="0"/>
        <w:adjustRightInd/>
        <w:snapToGrid/>
        <w:spacing w:line="590" w:lineRule="exact"/>
        <w:textAlignment w:val="auto"/>
        <w:rPr>
          <w:rFonts w:hint="eastAsia" w:ascii="方正黑体_GBK" w:hAnsi="方正黑体_GBK" w:eastAsia="方正黑体_GBK" w:cs="方正黑体_GBK"/>
          <w:b/>
        </w:rPr>
      </w:pPr>
      <w:bookmarkStart w:id="32" w:name="_Toc76137904"/>
      <w:bookmarkStart w:id="33" w:name="_Toc76137875"/>
      <w:bookmarkStart w:id="34" w:name="_Toc76137557"/>
      <w:bookmarkStart w:id="35" w:name="_Toc4707"/>
      <w:r>
        <w:rPr>
          <w:rFonts w:hint="eastAsia" w:ascii="方正黑体_GBK" w:hAnsi="方正黑体_GBK" w:eastAsia="方正黑体_GBK" w:cs="方正黑体_GBK"/>
        </w:rPr>
        <w:t>第三章 重点领域</w:t>
      </w:r>
      <w:bookmarkEnd w:id="32"/>
      <w:bookmarkEnd w:id="33"/>
      <w:bookmarkEnd w:id="34"/>
      <w:bookmarkEnd w:id="35"/>
    </w:p>
    <w:p w14:paraId="6C35F4D3">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坚持产业强区战略，立足义安区产业基础，按照“</w:t>
      </w:r>
      <w:r>
        <w:rPr>
          <w:rFonts w:ascii="Times New Roman" w:hAnsi="Times New Roman" w:eastAsia="仿宋_GB2312" w:cs="Times New Roman"/>
          <w:color w:val="000000" w:themeColor="text1"/>
          <w:sz w:val="32"/>
          <w:szCs w:val="32"/>
          <w14:textFill>
            <w14:solidFill>
              <w14:schemeClr w14:val="tx1"/>
            </w14:solidFill>
          </w14:textFill>
        </w:rPr>
        <w:t>133</w:t>
      </w:r>
      <w:r>
        <w:rPr>
          <w:rFonts w:hint="eastAsia" w:ascii="方正仿宋_GBK" w:hAnsi="方正仿宋_GBK" w:eastAsia="方正仿宋_GBK" w:cs="方正仿宋_GBK"/>
          <w:color w:val="000000" w:themeColor="text1"/>
          <w:sz w:val="32"/>
          <w:szCs w:val="32"/>
          <w14:textFill>
            <w14:solidFill>
              <w14:schemeClr w14:val="tx1"/>
            </w14:solidFill>
          </w14:textFill>
        </w:rPr>
        <w:t>”战新产业体系，提质发展新材料首位产业，集聚发展新一代信息技术、高端装备制造和新能源汽车零部件三大支撑性产业，培育发展绿色食品、节能环保和数字创意三大成长性产业，以强链延链补链为核心，构建具有义安特色的战新产业发展新格局。</w:t>
      </w:r>
    </w:p>
    <w:p w14:paraId="6CFE3AD6">
      <w:pPr>
        <w:pStyle w:val="3"/>
        <w:pageBreakBefore w:val="0"/>
        <w:widowControl w:val="0"/>
        <w:kinsoku/>
        <w:wordWrap/>
        <w:overflowPunct/>
        <w:topLinePunct w:val="0"/>
        <w:autoSpaceDE/>
        <w:autoSpaceDN/>
        <w:bidi w:val="0"/>
        <w:adjustRightInd/>
        <w:snapToGrid/>
        <w:spacing w:line="590" w:lineRule="exact"/>
        <w:textAlignment w:val="auto"/>
        <w:rPr>
          <w:rFonts w:hint="eastAsia" w:ascii="方正楷体_GBK" w:hAnsi="方正楷体_GBK" w:eastAsia="方正楷体_GBK" w:cs="方正楷体_GBK"/>
          <w:b w:val="0"/>
          <w:bCs/>
        </w:rPr>
      </w:pPr>
      <w:bookmarkStart w:id="36" w:name="_Toc76137905"/>
      <w:bookmarkStart w:id="37" w:name="_Toc1246"/>
      <w:bookmarkStart w:id="38" w:name="_Toc76137876"/>
      <w:bookmarkStart w:id="39" w:name="_Toc76137558"/>
      <w:r>
        <w:rPr>
          <w:rFonts w:hint="eastAsia" w:ascii="方正楷体_GBK" w:hAnsi="方正楷体_GBK" w:eastAsia="方正楷体_GBK" w:cs="方正楷体_GBK"/>
          <w:b w:val="0"/>
          <w:bCs/>
        </w:rPr>
        <w:t>第一节 集聚发展新材料首位产业</w:t>
      </w:r>
      <w:bookmarkEnd w:id="36"/>
      <w:bookmarkEnd w:id="37"/>
      <w:bookmarkEnd w:id="38"/>
      <w:bookmarkEnd w:id="39"/>
    </w:p>
    <w:p w14:paraId="70240B11">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Cs/>
          <w:color w:val="000000" w:themeColor="text1"/>
          <w:sz w:val="32"/>
          <w:szCs w:val="32"/>
          <w14:textFill>
            <w14:solidFill>
              <w14:schemeClr w14:val="tx1"/>
            </w14:solidFill>
          </w14:textFill>
        </w:rPr>
      </w:pPr>
      <w:r>
        <w:rPr>
          <w:rFonts w:hint="eastAsia" w:ascii="方正黑体_GBK" w:hAnsi="方正黑体_GBK" w:eastAsia="方正黑体_GBK" w:cs="方正黑体_GBK"/>
          <w:bCs/>
          <w:color w:val="000000" w:themeColor="text1"/>
          <w:sz w:val="32"/>
          <w:szCs w:val="32"/>
          <w14:textFill>
            <w14:solidFill>
              <w14:schemeClr w14:val="tx1"/>
            </w14:solidFill>
          </w14:textFill>
        </w:rPr>
        <w:t>一、发展思路和目标</w:t>
      </w:r>
    </w:p>
    <w:p w14:paraId="31C97799">
      <w:pPr>
        <w:pageBreakBefore w:val="0"/>
        <w:widowControl w:val="0"/>
        <w:kinsoku/>
        <w:wordWrap/>
        <w:overflowPunct/>
        <w:topLinePunct w:val="0"/>
        <w:autoSpaceDE/>
        <w:autoSpaceDN/>
        <w:bidi w:val="0"/>
        <w:adjustRightInd/>
        <w:snapToGrid/>
        <w:spacing w:line="59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抢抓国家先进结构材料产业集群建设和安徽省打造新型“铜墙铁壁”的重大机遇，以精细化、高端化为中心，大力推进以铜基新材料为主导，铁基新材料和铝基新材料为支撑的先进结构材料产业集群化发展，力争“十四五”末，全区新材料产业产值达</w:t>
      </w:r>
      <w:r>
        <w:rPr>
          <w:rFonts w:ascii="Times New Roman" w:hAnsi="Times New Roman" w:eastAsia="仿宋_GB2312" w:cs="Times New Roman"/>
          <w:color w:val="000000" w:themeColor="text1"/>
          <w:sz w:val="32"/>
          <w:szCs w:val="32"/>
          <w14:textFill>
            <w14:solidFill>
              <w14:schemeClr w14:val="tx1"/>
            </w14:solidFill>
          </w14:textFill>
        </w:rPr>
        <w:t>45</w:t>
      </w:r>
      <w:r>
        <w:rPr>
          <w:rFonts w:hint="eastAsia" w:ascii="方正仿宋_GBK" w:hAnsi="方正仿宋_GBK" w:eastAsia="方正仿宋_GBK" w:cs="方正仿宋_GBK"/>
          <w:color w:val="000000" w:themeColor="text1"/>
          <w:sz w:val="32"/>
          <w:szCs w:val="32"/>
          <w14:textFill>
            <w14:solidFill>
              <w14:schemeClr w14:val="tx1"/>
            </w14:solidFill>
          </w14:textFill>
        </w:rPr>
        <w:t>亿元。</w:t>
      </w:r>
    </w:p>
    <w:p w14:paraId="18FDFC21">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Cs/>
          <w:color w:val="000000" w:themeColor="text1"/>
          <w:sz w:val="32"/>
          <w:szCs w:val="32"/>
          <w14:textFill>
            <w14:solidFill>
              <w14:schemeClr w14:val="tx1"/>
            </w14:solidFill>
          </w14:textFill>
        </w:rPr>
      </w:pPr>
      <w:r>
        <w:rPr>
          <w:rFonts w:hint="eastAsia" w:ascii="方正黑体_GBK" w:hAnsi="方正黑体_GBK" w:eastAsia="方正黑体_GBK" w:cs="方正黑体_GBK"/>
          <w:bCs/>
          <w:color w:val="000000" w:themeColor="text1"/>
          <w:sz w:val="32"/>
          <w:szCs w:val="32"/>
          <w14:textFill>
            <w14:solidFill>
              <w14:schemeClr w14:val="tx1"/>
            </w14:solidFill>
          </w14:textFill>
        </w:rPr>
        <w:t>二、发展重点和路径</w:t>
      </w:r>
    </w:p>
    <w:p w14:paraId="62BE45C5">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（一）铜基新材料</w:t>
      </w:r>
    </w:p>
    <w:p w14:paraId="388770DB">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立足现有铜材料产业基础，以产业链延伸和产品高端化为导向，推动铜基新材料与装备制造、新一代信息技术及航空航天等行业融合发展，重点发展特种电磁线、超高压电缆、超薄电解铜箔、印制电路板用阳极磷铜材料、高性能铜合金棒材等领域。鼓励电线电缆生产企业与行业内龙头企业加强交流合作，加快产品更新步伐。依托铜陵市电解铜生产优势，面向珠三角地区，大力引进超薄电解铜箔、印制电路板用铜材料等领域企业，推动义安铜箔产业向电子信息领域延伸发展，推进东莞市龙谊电子柔性铜箔基材及覆盖膜生产项目建设，扩大超薄柔性铜箔生产规模。引导企业加强和合工大、科大等高校材料学院合作，加强铜合金性能、铜合金焊接材料等方面研究，研发航空用特种高性能铜合金棒材和焊接材料等。</w:t>
      </w:r>
    </w:p>
    <w:p w14:paraId="3F0156AD">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（二）铁基新材料</w:t>
      </w:r>
    </w:p>
    <w:p w14:paraId="316711E0">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依托义安区铁基新材料产业基础，大力支持钢铁生产领域企业加快扩产能、提质量步伐，深耕建筑用钢、高速轧辊用钢等领域，布局发展碳合金钢、中厚板、精冲钢、冷弯型钢等中高端特种钢领域，提升产品附加值。加速年产</w:t>
      </w:r>
      <w:r>
        <w:rPr>
          <w:rFonts w:ascii="Times New Roman" w:hAnsi="Times New Roman" w:eastAsia="仿宋_GB2312" w:cs="Times New Roman"/>
          <w:color w:val="000000" w:themeColor="text1"/>
          <w:sz w:val="32"/>
          <w:szCs w:val="32"/>
          <w14:textFill>
            <w14:solidFill>
              <w14:schemeClr w14:val="tx1"/>
            </w14:solidFill>
          </w14:textFill>
        </w:rPr>
        <w:t>15000</w:t>
      </w:r>
      <w:r>
        <w:rPr>
          <w:rFonts w:hint="eastAsia" w:ascii="方正仿宋_GBK" w:hAnsi="方正仿宋_GBK" w:eastAsia="方正仿宋_GBK" w:cs="方正仿宋_GBK"/>
          <w:color w:val="000000" w:themeColor="text1"/>
          <w:sz w:val="32"/>
          <w:szCs w:val="32"/>
          <w14:textFill>
            <w14:solidFill>
              <w14:schemeClr w14:val="tx1"/>
            </w14:solidFill>
          </w14:textFill>
        </w:rPr>
        <w:t>吨高压精密无缝钢管生产、年产</w:t>
      </w:r>
      <w:r>
        <w:rPr>
          <w:rFonts w:ascii="Times New Roman" w:hAnsi="Times New Roman" w:eastAsia="仿宋_GB2312" w:cs="Times New Roman"/>
          <w:color w:val="000000" w:themeColor="text1"/>
          <w:sz w:val="32"/>
          <w:szCs w:val="32"/>
          <w14:textFill>
            <w14:solidFill>
              <w14:schemeClr w14:val="tx1"/>
            </w14:solidFill>
          </w14:textFill>
        </w:rPr>
        <w:t>2</w:t>
      </w:r>
      <w:r>
        <w:rPr>
          <w:rFonts w:hint="eastAsia" w:ascii="方正仿宋_GBK" w:hAnsi="方正仿宋_GBK" w:eastAsia="方正仿宋_GBK" w:cs="方正仿宋_GBK"/>
          <w:color w:val="000000" w:themeColor="text1"/>
          <w:sz w:val="32"/>
          <w:szCs w:val="32"/>
          <w14:textFill>
            <w14:solidFill>
              <w14:schemeClr w14:val="tx1"/>
            </w14:solidFill>
          </w14:textFill>
        </w:rPr>
        <w:t>万吨钢结构件等项目建设进度，扩大特种钢、新一代功能复合化建筑用钢生产规模。抢抓长三角新能源汽车发展机遇，谋划发展轻量化汽车用冷轧板加工、电池壳用钢加工等细分产业领域，丰富先进钢铁材料种类。</w:t>
      </w:r>
    </w:p>
    <w:p w14:paraId="5A258ED9">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（三）铝基新材料</w:t>
      </w:r>
    </w:p>
    <w:p w14:paraId="6DE5F7D1">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重点发展铝合金制品、铝基焊接材料及废铝再生铝合金等领域。立足铜材料产业优势，鼓励铝基新材料领域企业扩大复合型铝铜合金电缆、铝铜焊接材料等生产规模，推进年产</w:t>
      </w:r>
      <w:r>
        <w:rPr>
          <w:rFonts w:ascii="Times New Roman" w:hAnsi="Times New Roman" w:eastAsia="仿宋_GB2312" w:cs="Times New Roman"/>
          <w:color w:val="000000" w:themeColor="text1"/>
          <w:sz w:val="32"/>
          <w:szCs w:val="32"/>
          <w14:textFill>
            <w14:solidFill>
              <w14:schemeClr w14:val="tx1"/>
            </w14:solidFill>
          </w14:textFill>
        </w:rPr>
        <w:t>2</w:t>
      </w:r>
      <w:r>
        <w:rPr>
          <w:rFonts w:hint="eastAsia" w:ascii="方正仿宋_GBK" w:hAnsi="方正仿宋_GBK" w:eastAsia="方正仿宋_GBK" w:cs="方正仿宋_GBK"/>
          <w:color w:val="000000" w:themeColor="text1"/>
          <w:sz w:val="32"/>
          <w:szCs w:val="32"/>
          <w14:textFill>
            <w14:solidFill>
              <w14:schemeClr w14:val="tx1"/>
            </w14:solidFill>
          </w14:textFill>
        </w:rPr>
        <w:t>万吨铜铝合金高新材料产业园项目建设，依托产业园平台优势，积极招引新型铝合金领域企业，壮大铝基新材料产业集群。依托义安区铝产业基础，探索发展高性能金属质感材料、水性原浆及树脂包附性原浆等高附加值产品。</w:t>
      </w:r>
    </w:p>
    <w:tbl>
      <w:tblPr>
        <w:tblStyle w:val="14"/>
        <w:tblW w:w="888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880"/>
      </w:tblGrid>
      <w:tr w14:paraId="64E603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880" w:type="dxa"/>
            <w:shd w:val="clear" w:color="auto" w:fill="auto"/>
            <w:vAlign w:val="center"/>
          </w:tcPr>
          <w:p w14:paraId="2A60F6BA">
            <w:pPr>
              <w:spacing w:line="600" w:lineRule="exact"/>
              <w:jc w:val="center"/>
              <w:rPr>
                <w:rFonts w:ascii="方正小标宋简体" w:eastAsia="方正小标宋简体"/>
                <w:sz w:val="44"/>
              </w:rPr>
            </w:pPr>
            <w:r>
              <w:rPr>
                <w:rFonts w:ascii="方正小标宋简体" w:eastAsia="方正小标宋简体"/>
                <w:sz w:val="32"/>
              </w:rPr>
              <w:t>专栏</w:t>
            </w:r>
            <w:r>
              <w:rPr>
                <w:rFonts w:ascii="Times New Roman" w:hAnsi="Times New Roman" w:eastAsia="方正小标宋简体" w:cs="Times New Roman"/>
                <w:sz w:val="32"/>
              </w:rPr>
              <w:t>1</w:t>
            </w:r>
            <w:r>
              <w:rPr>
                <w:rFonts w:ascii="方正小标宋简体" w:eastAsia="方正小标宋简体"/>
                <w:sz w:val="32"/>
              </w:rPr>
              <w:t>：新材料产业项目</w:t>
            </w:r>
          </w:p>
        </w:tc>
      </w:tr>
      <w:tr w14:paraId="1CD733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0" w:hRule="atLeast"/>
          <w:jc w:val="center"/>
        </w:trPr>
        <w:tc>
          <w:tcPr>
            <w:tcW w:w="8880" w:type="dxa"/>
            <w:shd w:val="clear" w:color="auto" w:fill="auto"/>
            <w:vAlign w:val="center"/>
          </w:tcPr>
          <w:p w14:paraId="671A8B79">
            <w:pPr>
              <w:pStyle w:val="5"/>
              <w:spacing w:line="500" w:lineRule="exact"/>
              <w:ind w:firstLine="0"/>
              <w:rPr>
                <w:rFonts w:ascii="宋体" w:hAnsi="宋体" w:eastAsia="宋体" w:cs="Times New Roman"/>
                <w:color w:val="000000" w:themeColor="text1"/>
                <w:szCs w:val="21"/>
                <w14:textFill>
                  <w14:solidFill>
                    <w14:schemeClr w14:val="tx1"/>
                  </w14:solidFill>
                </w14:textFill>
              </w:rPr>
            </w:pPr>
            <w:r>
              <w:rPr>
                <w:rFonts w:ascii="宋体" w:hAnsi="宋体" w:eastAsia="宋体" w:cs="Times New Roman"/>
                <w:b/>
                <w:bCs/>
                <w:color w:val="000000" w:themeColor="text1"/>
                <w:szCs w:val="21"/>
                <w14:textFill>
                  <w14:solidFill>
                    <w14:schemeClr w14:val="tx1"/>
                  </w14:solidFill>
                </w14:textFill>
              </w:rPr>
              <w:t>铜基新材料：</w:t>
            </w:r>
            <w:r>
              <w:rPr>
                <w:rFonts w:ascii="宋体" w:hAnsi="宋体" w:eastAsia="宋体" w:cs="Times New Roman"/>
                <w:color w:val="000000" w:themeColor="text1"/>
                <w:szCs w:val="21"/>
                <w14:textFill>
                  <w14:solidFill>
                    <w14:schemeClr w14:val="tx1"/>
                  </w14:solidFill>
                </w14:textFill>
              </w:rPr>
              <w:t>年产</w:t>
            </w:r>
            <w:r>
              <w:rPr>
                <w:rFonts w:eastAsia="宋体" w:cs="Times New Roman"/>
                <w:color w:val="000000" w:themeColor="text1"/>
                <w:szCs w:val="21"/>
                <w14:textFill>
                  <w14:solidFill>
                    <w14:schemeClr w14:val="tx1"/>
                  </w14:solidFill>
                </w14:textFill>
              </w:rPr>
              <w:t>2</w:t>
            </w:r>
            <w:r>
              <w:rPr>
                <w:rFonts w:ascii="宋体" w:hAnsi="宋体" w:eastAsia="宋体" w:cs="Times New Roman"/>
                <w:color w:val="000000" w:themeColor="text1"/>
                <w:szCs w:val="21"/>
                <w14:textFill>
                  <w14:solidFill>
                    <w14:schemeClr w14:val="tx1"/>
                  </w14:solidFill>
                </w14:textFill>
              </w:rPr>
              <w:t>万吨锡铜类产品项目、年产</w:t>
            </w:r>
            <w:r>
              <w:rPr>
                <w:rFonts w:eastAsia="宋体" w:cs="Times New Roman"/>
                <w:color w:val="000000" w:themeColor="text1"/>
                <w:szCs w:val="21"/>
                <w14:textFill>
                  <w14:solidFill>
                    <w14:schemeClr w14:val="tx1"/>
                  </w14:solidFill>
                </w14:textFill>
              </w:rPr>
              <w:t>8</w:t>
            </w:r>
            <w:r>
              <w:rPr>
                <w:rFonts w:ascii="宋体" w:hAnsi="宋体" w:eastAsia="宋体" w:cs="Times New Roman"/>
                <w:color w:val="000000" w:themeColor="text1"/>
                <w:szCs w:val="21"/>
                <w14:textFill>
                  <w14:solidFill>
                    <w14:schemeClr w14:val="tx1"/>
                  </w14:solidFill>
                </w14:textFill>
              </w:rPr>
              <w:t>万吨精密铜制品项目、年产</w:t>
            </w:r>
            <w:r>
              <w:rPr>
                <w:rFonts w:eastAsia="宋体" w:cs="Times New Roman"/>
                <w:color w:val="000000" w:themeColor="text1"/>
                <w:szCs w:val="21"/>
                <w14:textFill>
                  <w14:solidFill>
                    <w14:schemeClr w14:val="tx1"/>
                  </w14:solidFill>
                </w14:textFill>
              </w:rPr>
              <w:t>5</w:t>
            </w:r>
            <w:r>
              <w:rPr>
                <w:rFonts w:ascii="宋体" w:hAnsi="宋体" w:eastAsia="宋体" w:cs="Times New Roman"/>
                <w:color w:val="000000" w:themeColor="text1"/>
                <w:szCs w:val="21"/>
                <w14:textFill>
                  <w14:solidFill>
                    <w14:schemeClr w14:val="tx1"/>
                  </w14:solidFill>
                </w14:textFill>
              </w:rPr>
              <w:t>万吨铜基材料项目、铜基二次资源清洁再生环保应用技术产业化年产</w:t>
            </w:r>
            <w:r>
              <w:rPr>
                <w:rFonts w:eastAsia="宋体" w:cs="Times New Roman"/>
                <w:color w:val="000000" w:themeColor="text1"/>
                <w:szCs w:val="21"/>
                <w14:textFill>
                  <w14:solidFill>
                    <w14:schemeClr w14:val="tx1"/>
                  </w14:solidFill>
                </w14:textFill>
              </w:rPr>
              <w:t>3</w:t>
            </w:r>
            <w:r>
              <w:rPr>
                <w:rFonts w:ascii="宋体" w:hAnsi="宋体" w:eastAsia="宋体" w:cs="Times New Roman"/>
                <w:color w:val="000000" w:themeColor="text1"/>
                <w:szCs w:val="21"/>
                <w14:textFill>
                  <w14:solidFill>
                    <w14:schemeClr w14:val="tx1"/>
                  </w14:solidFill>
                </w14:textFill>
              </w:rPr>
              <w:t>万吨铜棒（坯）生产线、年产</w:t>
            </w:r>
            <w:r>
              <w:rPr>
                <w:rFonts w:eastAsia="宋体" w:cs="Times New Roman"/>
                <w:color w:val="000000" w:themeColor="text1"/>
                <w:szCs w:val="21"/>
                <w14:textFill>
                  <w14:solidFill>
                    <w14:schemeClr w14:val="tx1"/>
                  </w14:solidFill>
                </w14:textFill>
              </w:rPr>
              <w:t>3</w:t>
            </w:r>
            <w:r>
              <w:rPr>
                <w:rFonts w:ascii="宋体" w:hAnsi="宋体" w:eastAsia="宋体" w:cs="Times New Roman"/>
                <w:color w:val="000000" w:themeColor="text1"/>
                <w:szCs w:val="21"/>
                <w14:textFill>
                  <w14:solidFill>
                    <w14:schemeClr w14:val="tx1"/>
                  </w14:solidFill>
                </w14:textFill>
              </w:rPr>
              <w:t>万吨铜材加工项目、</w:t>
            </w:r>
            <w:r>
              <w:rPr>
                <w:rFonts w:eastAsia="宋体" w:cs="Times New Roman"/>
                <w:color w:val="000000" w:themeColor="text1"/>
                <w:szCs w:val="21"/>
                <w14:textFill>
                  <w14:solidFill>
                    <w14:schemeClr w14:val="tx1"/>
                  </w14:solidFill>
                </w14:textFill>
              </w:rPr>
              <w:t>14000</w:t>
            </w:r>
            <w:r>
              <w:rPr>
                <w:rFonts w:ascii="宋体" w:hAnsi="宋体" w:eastAsia="宋体" w:cs="Times New Roman"/>
                <w:color w:val="000000" w:themeColor="text1"/>
                <w:szCs w:val="21"/>
                <w14:textFill>
                  <w14:solidFill>
                    <w14:schemeClr w14:val="tx1"/>
                  </w14:solidFill>
                </w14:textFill>
              </w:rPr>
              <w:t>吨/年铜基微晶新材料建设项目、年产</w:t>
            </w:r>
            <w:r>
              <w:rPr>
                <w:rFonts w:eastAsia="宋体" w:cs="Times New Roman"/>
                <w:color w:val="000000" w:themeColor="text1"/>
                <w:szCs w:val="21"/>
                <w14:textFill>
                  <w14:solidFill>
                    <w14:schemeClr w14:val="tx1"/>
                  </w14:solidFill>
                </w14:textFill>
              </w:rPr>
              <w:t>4</w:t>
            </w:r>
            <w:r>
              <w:rPr>
                <w:rFonts w:ascii="宋体" w:hAnsi="宋体" w:eastAsia="宋体" w:cs="Times New Roman"/>
                <w:color w:val="000000" w:themeColor="text1"/>
                <w:szCs w:val="21"/>
                <w14:textFill>
                  <w14:solidFill>
                    <w14:schemeClr w14:val="tx1"/>
                  </w14:solidFill>
                </w14:textFill>
              </w:rPr>
              <w:t>万吨高精度电子铜带项目、年产</w:t>
            </w:r>
            <w:r>
              <w:rPr>
                <w:rFonts w:eastAsia="宋体" w:cs="Times New Roman"/>
                <w:color w:val="000000" w:themeColor="text1"/>
                <w:szCs w:val="21"/>
                <w14:textFill>
                  <w14:solidFill>
                    <w14:schemeClr w14:val="tx1"/>
                  </w14:solidFill>
                </w14:textFill>
              </w:rPr>
              <w:t>10000</w:t>
            </w:r>
            <w:r>
              <w:rPr>
                <w:rFonts w:ascii="宋体" w:hAnsi="宋体" w:eastAsia="宋体" w:cs="Times New Roman"/>
                <w:color w:val="000000" w:themeColor="text1"/>
                <w:szCs w:val="21"/>
                <w14:textFill>
                  <w14:solidFill>
                    <w14:schemeClr w14:val="tx1"/>
                  </w14:solidFill>
                </w14:textFill>
              </w:rPr>
              <w:t>吨无氧压延铜箔项目、年产</w:t>
            </w:r>
            <w:r>
              <w:rPr>
                <w:rFonts w:eastAsia="宋体" w:cs="Times New Roman"/>
                <w:color w:val="000000" w:themeColor="text1"/>
                <w:szCs w:val="21"/>
                <w14:textFill>
                  <w14:solidFill>
                    <w14:schemeClr w14:val="tx1"/>
                  </w14:solidFill>
                </w14:textFill>
              </w:rPr>
              <w:t>1000</w:t>
            </w:r>
            <w:r>
              <w:rPr>
                <w:rFonts w:ascii="宋体" w:hAnsi="宋体" w:eastAsia="宋体" w:cs="Times New Roman"/>
                <w:color w:val="000000" w:themeColor="text1"/>
                <w:szCs w:val="21"/>
                <w14:textFill>
                  <w14:solidFill>
                    <w14:schemeClr w14:val="tx1"/>
                  </w14:solidFill>
                </w14:textFill>
              </w:rPr>
              <w:t>万公里紫铜软连接线招商项目、年产</w:t>
            </w:r>
            <w:r>
              <w:rPr>
                <w:rFonts w:eastAsia="宋体" w:cs="Times New Roman"/>
                <w:color w:val="000000" w:themeColor="text1"/>
                <w:szCs w:val="21"/>
                <w14:textFill>
                  <w14:solidFill>
                    <w14:schemeClr w14:val="tx1"/>
                  </w14:solidFill>
                </w14:textFill>
              </w:rPr>
              <w:t>15000</w:t>
            </w:r>
            <w:r>
              <w:rPr>
                <w:rFonts w:ascii="宋体" w:hAnsi="宋体" w:eastAsia="宋体" w:cs="Times New Roman"/>
                <w:color w:val="000000" w:themeColor="text1"/>
                <w:szCs w:val="21"/>
                <w14:textFill>
                  <w14:solidFill>
                    <w14:schemeClr w14:val="tx1"/>
                  </w14:solidFill>
                </w14:textFill>
              </w:rPr>
              <w:t>吨无氧电解铜箔项目、年产</w:t>
            </w:r>
            <w:r>
              <w:rPr>
                <w:rFonts w:eastAsia="宋体" w:cs="Times New Roman"/>
                <w:color w:val="000000" w:themeColor="text1"/>
                <w:szCs w:val="21"/>
                <w14:textFill>
                  <w14:solidFill>
                    <w14:schemeClr w14:val="tx1"/>
                  </w14:solidFill>
                </w14:textFill>
              </w:rPr>
              <w:t>50000</w:t>
            </w:r>
            <w:r>
              <w:rPr>
                <w:rFonts w:ascii="宋体" w:hAnsi="宋体" w:eastAsia="宋体" w:cs="Times New Roman"/>
                <w:color w:val="000000" w:themeColor="text1"/>
                <w:szCs w:val="21"/>
                <w14:textFill>
                  <w14:solidFill>
                    <w14:schemeClr w14:val="tx1"/>
                  </w14:solidFill>
                </w14:textFill>
              </w:rPr>
              <w:t>吨高精度异型铜板带项目、年产</w:t>
            </w:r>
            <w:r>
              <w:rPr>
                <w:rFonts w:eastAsia="宋体" w:cs="Times New Roman"/>
                <w:color w:val="000000" w:themeColor="text1"/>
                <w:szCs w:val="21"/>
                <w14:textFill>
                  <w14:solidFill>
                    <w14:schemeClr w14:val="tx1"/>
                  </w14:solidFill>
                </w14:textFill>
              </w:rPr>
              <w:t>1</w:t>
            </w:r>
            <w:r>
              <w:rPr>
                <w:rFonts w:ascii="宋体" w:hAnsi="宋体" w:eastAsia="宋体" w:cs="Times New Roman"/>
                <w:color w:val="000000" w:themeColor="text1"/>
                <w:szCs w:val="21"/>
                <w14:textFill>
                  <w14:solidFill>
                    <w14:schemeClr w14:val="tx1"/>
                  </w14:solidFill>
                </w14:textFill>
              </w:rPr>
              <w:t>万吨高性能锂电铜箔项目、年产</w:t>
            </w:r>
            <w:r>
              <w:rPr>
                <w:rFonts w:eastAsia="宋体" w:cs="Times New Roman"/>
                <w:color w:val="000000" w:themeColor="text1"/>
                <w:szCs w:val="21"/>
                <w14:textFill>
                  <w14:solidFill>
                    <w14:schemeClr w14:val="tx1"/>
                  </w14:solidFill>
                </w14:textFill>
              </w:rPr>
              <w:t>25</w:t>
            </w:r>
            <w:r>
              <w:rPr>
                <w:rFonts w:ascii="宋体" w:hAnsi="宋体" w:eastAsia="宋体" w:cs="Times New Roman"/>
                <w:color w:val="000000" w:themeColor="text1"/>
                <w:szCs w:val="21"/>
                <w14:textFill>
                  <w14:solidFill>
                    <w14:schemeClr w14:val="tx1"/>
                  </w14:solidFill>
                </w14:textFill>
              </w:rPr>
              <w:t>万吨高精度铜棒、年产出</w:t>
            </w:r>
            <w:r>
              <w:rPr>
                <w:rFonts w:eastAsia="宋体" w:cs="Times New Roman"/>
                <w:color w:val="000000" w:themeColor="text1"/>
                <w:szCs w:val="21"/>
                <w14:textFill>
                  <w14:solidFill>
                    <w14:schemeClr w14:val="tx1"/>
                  </w14:solidFill>
                </w14:textFill>
              </w:rPr>
              <w:t>15000</w:t>
            </w:r>
            <w:r>
              <w:rPr>
                <w:rFonts w:ascii="宋体" w:hAnsi="宋体" w:eastAsia="宋体" w:cs="Times New Roman"/>
                <w:color w:val="000000" w:themeColor="text1"/>
                <w:szCs w:val="21"/>
                <w14:textFill>
                  <w14:solidFill>
                    <w14:schemeClr w14:val="tx1"/>
                  </w14:solidFill>
                </w14:textFill>
              </w:rPr>
              <w:t>吨高精密铜基复合材料项目、年产</w:t>
            </w:r>
            <w:r>
              <w:rPr>
                <w:rFonts w:eastAsia="宋体" w:cs="Times New Roman"/>
                <w:color w:val="000000" w:themeColor="text1"/>
                <w:szCs w:val="21"/>
                <w14:textFill>
                  <w14:solidFill>
                    <w14:schemeClr w14:val="tx1"/>
                  </w14:solidFill>
                </w14:textFill>
              </w:rPr>
              <w:t>9000</w:t>
            </w:r>
            <w:r>
              <w:rPr>
                <w:rFonts w:ascii="宋体" w:hAnsi="宋体" w:eastAsia="宋体" w:cs="Times New Roman"/>
                <w:color w:val="000000" w:themeColor="text1"/>
                <w:szCs w:val="21"/>
                <w14:textFill>
                  <w14:solidFill>
                    <w14:schemeClr w14:val="tx1"/>
                  </w14:solidFill>
                </w14:textFill>
              </w:rPr>
              <w:t>吨环保型铜基钎料项目、年产</w:t>
            </w:r>
            <w:r>
              <w:rPr>
                <w:rFonts w:eastAsia="宋体" w:cs="Times New Roman"/>
                <w:color w:val="000000" w:themeColor="text1"/>
                <w:szCs w:val="21"/>
                <w14:textFill>
                  <w14:solidFill>
                    <w14:schemeClr w14:val="tx1"/>
                  </w14:solidFill>
                </w14:textFill>
              </w:rPr>
              <w:t>2000</w:t>
            </w:r>
            <w:r>
              <w:rPr>
                <w:rFonts w:ascii="宋体" w:hAnsi="宋体" w:eastAsia="宋体" w:cs="Times New Roman"/>
                <w:color w:val="000000" w:themeColor="text1"/>
                <w:szCs w:val="21"/>
                <w14:textFill>
                  <w14:solidFill>
                    <w14:schemeClr w14:val="tx1"/>
                  </w14:solidFill>
                </w14:textFill>
              </w:rPr>
              <w:t>吨高铜基镀银线产品项目。</w:t>
            </w:r>
          </w:p>
          <w:p w14:paraId="0065989F">
            <w:pPr>
              <w:pStyle w:val="5"/>
              <w:spacing w:line="500" w:lineRule="exact"/>
              <w:ind w:firstLine="0"/>
              <w:rPr>
                <w:rFonts w:ascii="宋体" w:hAnsi="宋体" w:eastAsia="宋体" w:cs="Times New Roman"/>
                <w:color w:val="000000" w:themeColor="text1"/>
                <w:szCs w:val="21"/>
                <w14:textFill>
                  <w14:solidFill>
                    <w14:schemeClr w14:val="tx1"/>
                  </w14:solidFill>
                </w14:textFill>
              </w:rPr>
            </w:pPr>
            <w:r>
              <w:rPr>
                <w:rFonts w:ascii="宋体" w:hAnsi="宋体" w:eastAsia="宋体" w:cs="Times New Roman"/>
                <w:b/>
                <w:color w:val="000000" w:themeColor="text1"/>
                <w:szCs w:val="28"/>
                <w14:textFill>
                  <w14:solidFill>
                    <w14:schemeClr w14:val="tx1"/>
                  </w14:solidFill>
                </w14:textFill>
              </w:rPr>
              <w:t>铁基新材料：</w:t>
            </w:r>
            <w:r>
              <w:rPr>
                <w:rFonts w:ascii="宋体" w:hAnsi="宋体" w:eastAsia="宋体" w:cs="Times New Roman"/>
                <w:color w:val="000000" w:themeColor="text1"/>
                <w:szCs w:val="21"/>
                <w14:textFill>
                  <w14:solidFill>
                    <w14:schemeClr w14:val="tx1"/>
                  </w14:solidFill>
                </w14:textFill>
              </w:rPr>
              <w:t>年产</w:t>
            </w:r>
            <w:r>
              <w:rPr>
                <w:rFonts w:eastAsia="宋体" w:cs="Times New Roman"/>
                <w:color w:val="000000" w:themeColor="text1"/>
                <w:szCs w:val="21"/>
                <w14:textFill>
                  <w14:solidFill>
                    <w14:schemeClr w14:val="tx1"/>
                  </w14:solidFill>
                </w14:textFill>
              </w:rPr>
              <w:t>15000</w:t>
            </w:r>
            <w:r>
              <w:rPr>
                <w:rFonts w:ascii="宋体" w:hAnsi="宋体" w:eastAsia="宋体" w:cs="Times New Roman"/>
                <w:color w:val="000000" w:themeColor="text1"/>
                <w:szCs w:val="21"/>
                <w14:textFill>
                  <w14:solidFill>
                    <w14:schemeClr w14:val="tx1"/>
                  </w14:solidFill>
                </w14:textFill>
              </w:rPr>
              <w:t>吨高压精密无缝钢管生产项目、年产</w:t>
            </w:r>
            <w:r>
              <w:rPr>
                <w:rFonts w:eastAsia="宋体" w:cs="Times New Roman"/>
                <w:color w:val="000000" w:themeColor="text1"/>
                <w:szCs w:val="21"/>
                <w14:textFill>
                  <w14:solidFill>
                    <w14:schemeClr w14:val="tx1"/>
                  </w14:solidFill>
                </w14:textFill>
              </w:rPr>
              <w:t>100</w:t>
            </w:r>
            <w:r>
              <w:rPr>
                <w:rFonts w:ascii="宋体" w:hAnsi="宋体" w:eastAsia="宋体" w:cs="Times New Roman"/>
                <w:color w:val="000000" w:themeColor="text1"/>
                <w:szCs w:val="21"/>
                <w14:textFill>
                  <w14:solidFill>
                    <w14:schemeClr w14:val="tx1"/>
                  </w14:solidFill>
                </w14:textFill>
              </w:rPr>
              <w:t>万吨电梯导轨钢项目、旋力特钢产能置换项目。</w:t>
            </w:r>
          </w:p>
          <w:p w14:paraId="549CC24F">
            <w:pPr>
              <w:pStyle w:val="5"/>
              <w:spacing w:line="500" w:lineRule="exact"/>
              <w:ind w:firstLine="0"/>
              <w:rPr>
                <w:rFonts w:eastAsia="仿宋_GB2312" w:cs="Times New Roman"/>
                <w:b/>
                <w:bCs/>
                <w:color w:val="000000" w:themeColor="text1"/>
                <w:szCs w:val="21"/>
                <w14:textFill>
                  <w14:solidFill>
                    <w14:schemeClr w14:val="tx1"/>
                  </w14:solidFill>
                </w14:textFill>
              </w:rPr>
            </w:pPr>
            <w:r>
              <w:rPr>
                <w:rFonts w:ascii="宋体" w:hAnsi="宋体" w:eastAsia="宋体" w:cs="Times New Roman"/>
                <w:b/>
                <w:bCs/>
                <w:color w:val="000000" w:themeColor="text1"/>
                <w:szCs w:val="21"/>
                <w14:textFill>
                  <w14:solidFill>
                    <w14:schemeClr w14:val="tx1"/>
                  </w14:solidFill>
                </w14:textFill>
              </w:rPr>
              <w:t>铝基新材料：</w:t>
            </w:r>
            <w:r>
              <w:rPr>
                <w:rFonts w:ascii="宋体" w:hAnsi="宋体" w:eastAsia="宋体" w:cs="Times New Roman"/>
                <w:color w:val="000000" w:themeColor="text1"/>
                <w:szCs w:val="21"/>
                <w14:textFill>
                  <w14:solidFill>
                    <w14:schemeClr w14:val="tx1"/>
                  </w14:solidFill>
                </w14:textFill>
              </w:rPr>
              <w:t>年产</w:t>
            </w:r>
            <w:r>
              <w:rPr>
                <w:rFonts w:eastAsia="宋体" w:cs="Times New Roman"/>
                <w:color w:val="000000" w:themeColor="text1"/>
                <w:szCs w:val="21"/>
                <w14:textFill>
                  <w14:solidFill>
                    <w14:schemeClr w14:val="tx1"/>
                  </w14:solidFill>
                </w14:textFill>
              </w:rPr>
              <w:t>10</w:t>
            </w:r>
            <w:r>
              <w:rPr>
                <w:rFonts w:ascii="宋体" w:hAnsi="宋体" w:eastAsia="宋体" w:cs="Times New Roman"/>
                <w:color w:val="000000" w:themeColor="text1"/>
                <w:szCs w:val="21"/>
                <w14:textFill>
                  <w14:solidFill>
                    <w14:schemeClr w14:val="tx1"/>
                  </w14:solidFill>
                </w14:textFill>
              </w:rPr>
              <w:t>万吨利用废铝生产铝合金材料技术改造、年产</w:t>
            </w:r>
            <w:r>
              <w:rPr>
                <w:rFonts w:eastAsia="宋体" w:cs="Times New Roman"/>
                <w:color w:val="000000" w:themeColor="text1"/>
                <w:szCs w:val="21"/>
                <w14:textFill>
                  <w14:solidFill>
                    <w14:schemeClr w14:val="tx1"/>
                  </w14:solidFill>
                </w14:textFill>
              </w:rPr>
              <w:t>2</w:t>
            </w:r>
            <w:r>
              <w:rPr>
                <w:rFonts w:ascii="宋体" w:hAnsi="宋体" w:eastAsia="宋体" w:cs="Times New Roman"/>
                <w:color w:val="000000" w:themeColor="text1"/>
                <w:szCs w:val="21"/>
                <w14:textFill>
                  <w14:solidFill>
                    <w14:schemeClr w14:val="tx1"/>
                  </w14:solidFill>
                </w14:textFill>
              </w:rPr>
              <w:t>万吨铜铝合金高新材料产业园项目、年产</w:t>
            </w:r>
            <w:r>
              <w:rPr>
                <w:rFonts w:eastAsia="宋体" w:cs="Times New Roman"/>
                <w:color w:val="000000" w:themeColor="text1"/>
                <w:szCs w:val="21"/>
                <w14:textFill>
                  <w14:solidFill>
                    <w14:schemeClr w14:val="tx1"/>
                  </w14:solidFill>
                </w14:textFill>
              </w:rPr>
              <w:t>5</w:t>
            </w:r>
            <w:r>
              <w:rPr>
                <w:rFonts w:ascii="宋体" w:hAnsi="宋体" w:eastAsia="宋体" w:cs="Times New Roman"/>
                <w:color w:val="000000" w:themeColor="text1"/>
                <w:szCs w:val="21"/>
                <w14:textFill>
                  <w14:solidFill>
                    <w14:schemeClr w14:val="tx1"/>
                  </w14:solidFill>
                </w14:textFill>
              </w:rPr>
              <w:t>万吨铝基新材料生产线提标升级技术改造项目、年产</w:t>
            </w:r>
            <w:r>
              <w:rPr>
                <w:rFonts w:eastAsia="宋体" w:cs="Times New Roman"/>
                <w:color w:val="000000" w:themeColor="text1"/>
                <w:szCs w:val="21"/>
                <w14:textFill>
                  <w14:solidFill>
                    <w14:schemeClr w14:val="tx1"/>
                  </w14:solidFill>
                </w14:textFill>
              </w:rPr>
              <w:t>2200K</w:t>
            </w:r>
            <w:r>
              <w:rPr>
                <w:rFonts w:hint="eastAsia" w:eastAsia="宋体" w:cs="Times New Roman"/>
                <w:color w:val="000000" w:themeColor="text1"/>
                <w:szCs w:val="21"/>
                <w14:textFill>
                  <w14:solidFill>
                    <w14:schemeClr w14:val="tx1"/>
                  </w14:solidFill>
                </w14:textFill>
              </w:rPr>
              <w:t>m</w:t>
            </w:r>
            <w:r>
              <w:rPr>
                <w:rFonts w:ascii="宋体" w:hAnsi="宋体" w:eastAsia="宋体" w:cs="Times New Roman"/>
                <w:color w:val="000000" w:themeColor="text1"/>
                <w:szCs w:val="21"/>
                <w14:textFill>
                  <w14:solidFill>
                    <w14:schemeClr w14:val="tx1"/>
                  </w14:solidFill>
                </w14:textFill>
              </w:rPr>
              <w:t>高铁稀土铝合金防火报警电缆项目。</w:t>
            </w:r>
          </w:p>
        </w:tc>
      </w:tr>
    </w:tbl>
    <w:p w14:paraId="175F91AE">
      <w:pPr>
        <w:spacing w:line="400" w:lineRule="exact"/>
        <w:jc w:val="center"/>
        <w:rPr>
          <w:rFonts w:ascii="方正小标宋简体" w:hAnsi="Times New Roman" w:eastAsia="方正小标宋简体" w:cs="Times New Roman"/>
          <w:bCs/>
          <w:color w:val="000000" w:themeColor="text1"/>
          <w:sz w:val="32"/>
          <w:szCs w:val="32"/>
          <w14:textFill>
            <w14:solidFill>
              <w14:schemeClr w14:val="tx1"/>
            </w14:solidFill>
          </w14:textFill>
        </w:rPr>
      </w:pPr>
    </w:p>
    <w:p w14:paraId="774C5F45">
      <w:pPr>
        <w:spacing w:line="400" w:lineRule="exact"/>
        <w:jc w:val="center"/>
        <w:rPr>
          <w:rFonts w:ascii="方正小标宋简体" w:hAnsi="Times New Roman" w:eastAsia="方正小标宋简体" w:cs="Times New Roman"/>
          <w:bCs/>
          <w:color w:val="000000" w:themeColor="text1"/>
          <w:sz w:val="32"/>
          <w:szCs w:val="32"/>
          <w14:textFill>
            <w14:solidFill>
              <w14:schemeClr w14:val="tx1"/>
            </w14:solidFill>
          </w14:textFill>
        </w:rPr>
      </w:pPr>
      <w:r>
        <w:rPr>
          <w:rFonts w:ascii="方正小标宋简体" w:hAnsi="Times New Roman" w:eastAsia="方正小标宋简体" w:cs="Times New Roman"/>
          <w:bCs/>
          <w:color w:val="000000" w:themeColor="text1"/>
          <w:sz w:val="32"/>
          <w:szCs w:val="32"/>
          <w14:textFill>
            <w14:solidFill>
              <w14:schemeClr w14:val="tx1"/>
            </w14:solidFill>
          </w14:textFill>
        </w:rPr>
        <w:t>表</w:t>
      </w:r>
      <w:r>
        <w:rPr>
          <w:rFonts w:ascii="Times New Roman" w:hAnsi="Times New Roman" w:eastAsia="方正小标宋简体" w:cs="Times New Roman"/>
          <w:bCs/>
          <w:color w:val="000000" w:themeColor="text1"/>
          <w:sz w:val="32"/>
          <w:szCs w:val="32"/>
          <w14:textFill>
            <w14:solidFill>
              <w14:schemeClr w14:val="tx1"/>
            </w14:solidFill>
          </w14:textFill>
        </w:rPr>
        <w:t>1</w:t>
      </w:r>
      <w:r>
        <w:rPr>
          <w:rFonts w:ascii="方正小标宋简体" w:hAnsi="Times New Roman" w:eastAsia="方正小标宋简体" w:cs="Times New Roman"/>
          <w:bCs/>
          <w:color w:val="000000" w:themeColor="text1"/>
          <w:sz w:val="32"/>
          <w:szCs w:val="32"/>
          <w14:textFill>
            <w14:solidFill>
              <w14:schemeClr w14:val="tx1"/>
            </w14:solidFill>
          </w14:textFill>
        </w:rPr>
        <w:t xml:space="preserve"> 新材料产业链招商目标企业库</w:t>
      </w:r>
    </w:p>
    <w:tbl>
      <w:tblPr>
        <w:tblStyle w:val="14"/>
        <w:tblW w:w="487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043"/>
        <w:gridCol w:w="4689"/>
        <w:gridCol w:w="2105"/>
      </w:tblGrid>
      <w:tr w14:paraId="5F8490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156" w:type="pct"/>
            <w:shd w:val="clear" w:color="auto" w:fill="auto"/>
            <w:vAlign w:val="center"/>
          </w:tcPr>
          <w:p w14:paraId="47EFE3A2">
            <w:pPr>
              <w:snapToGrid w:val="0"/>
              <w:jc w:val="center"/>
              <w:rPr>
                <w:rFonts w:ascii="Times New Roman" w:hAnsi="Times New Roman" w:eastAsia="黑体" w:cs="Times New Roman"/>
                <w:bCs/>
                <w:color w:val="000000" w:themeColor="text1"/>
                <w:sz w:val="24"/>
                <w:szCs w:val="24"/>
                <w14:textFill>
                  <w14:solidFill>
                    <w14:schemeClr w14:val="tx1"/>
                  </w14:solidFill>
                </w14:textFill>
              </w:rPr>
            </w:pPr>
            <w:r>
              <w:rPr>
                <w:rFonts w:ascii="Times New Roman" w:hAnsi="Times New Roman" w:eastAsia="黑体" w:cs="Times New Roman"/>
                <w:bCs/>
                <w:color w:val="000000" w:themeColor="text1"/>
                <w:sz w:val="24"/>
                <w:szCs w:val="24"/>
                <w14:textFill>
                  <w14:solidFill>
                    <w14:schemeClr w14:val="tx1"/>
                  </w14:solidFill>
                </w14:textFill>
              </w:rPr>
              <w:t>企业名称</w:t>
            </w:r>
          </w:p>
        </w:tc>
        <w:tc>
          <w:tcPr>
            <w:tcW w:w="2653" w:type="pct"/>
            <w:shd w:val="clear" w:color="auto" w:fill="auto"/>
            <w:vAlign w:val="center"/>
          </w:tcPr>
          <w:p w14:paraId="58FCAA92">
            <w:pPr>
              <w:snapToGrid w:val="0"/>
              <w:jc w:val="center"/>
              <w:rPr>
                <w:rFonts w:ascii="Times New Roman" w:hAnsi="Times New Roman" w:eastAsia="黑体" w:cs="Times New Roman"/>
                <w:bCs/>
                <w:color w:val="000000" w:themeColor="text1"/>
                <w:sz w:val="24"/>
                <w:szCs w:val="24"/>
                <w14:textFill>
                  <w14:solidFill>
                    <w14:schemeClr w14:val="tx1"/>
                  </w14:solidFill>
                </w14:textFill>
              </w:rPr>
            </w:pPr>
            <w:r>
              <w:rPr>
                <w:rFonts w:ascii="Times New Roman" w:hAnsi="Times New Roman" w:eastAsia="黑体" w:cs="Times New Roman"/>
                <w:bCs/>
                <w:color w:val="000000" w:themeColor="text1"/>
                <w:sz w:val="24"/>
                <w:szCs w:val="24"/>
                <w14:textFill>
                  <w14:solidFill>
                    <w14:schemeClr w14:val="tx1"/>
                  </w14:solidFill>
                </w14:textFill>
              </w:rPr>
              <w:t>主营或相关业务</w:t>
            </w:r>
          </w:p>
        </w:tc>
        <w:tc>
          <w:tcPr>
            <w:tcW w:w="1191" w:type="pct"/>
            <w:shd w:val="clear" w:color="auto" w:fill="auto"/>
            <w:vAlign w:val="center"/>
          </w:tcPr>
          <w:p w14:paraId="0446A7E4">
            <w:pPr>
              <w:snapToGrid w:val="0"/>
              <w:spacing w:line="280" w:lineRule="exact"/>
              <w:jc w:val="center"/>
              <w:rPr>
                <w:rFonts w:ascii="Times New Roman" w:hAnsi="Times New Roman" w:eastAsia="黑体" w:cs="Times New Roman"/>
                <w:bCs/>
                <w:color w:val="000000" w:themeColor="text1"/>
                <w:sz w:val="24"/>
                <w:szCs w:val="24"/>
                <w14:textFill>
                  <w14:solidFill>
                    <w14:schemeClr w14:val="tx1"/>
                  </w14:solidFill>
                </w14:textFill>
              </w:rPr>
            </w:pPr>
            <w:r>
              <w:rPr>
                <w:rFonts w:ascii="Times New Roman" w:hAnsi="Times New Roman" w:eastAsia="黑体" w:cs="Times New Roman"/>
                <w:bCs/>
                <w:color w:val="000000" w:themeColor="text1"/>
                <w:sz w:val="24"/>
                <w:szCs w:val="24"/>
                <w14:textFill>
                  <w14:solidFill>
                    <w14:schemeClr w14:val="tx1"/>
                  </w14:solidFill>
                </w14:textFill>
              </w:rPr>
              <w:t>引进方向</w:t>
            </w:r>
          </w:p>
          <w:p w14:paraId="70289261">
            <w:pPr>
              <w:snapToGrid w:val="0"/>
              <w:spacing w:line="280" w:lineRule="exact"/>
              <w:jc w:val="center"/>
              <w:rPr>
                <w:rFonts w:ascii="Times New Roman" w:hAnsi="Times New Roman" w:eastAsia="黑体" w:cs="Times New Roman"/>
                <w:bCs/>
                <w:color w:val="000000" w:themeColor="text1"/>
                <w:sz w:val="24"/>
                <w:szCs w:val="24"/>
                <w14:textFill>
                  <w14:solidFill>
                    <w14:schemeClr w14:val="tx1"/>
                  </w14:solidFill>
                </w14:textFill>
              </w:rPr>
            </w:pPr>
            <w:r>
              <w:rPr>
                <w:rFonts w:ascii="Times New Roman" w:hAnsi="Times New Roman" w:eastAsia="黑体" w:cs="Times New Roman"/>
                <w:bCs/>
                <w:color w:val="000000" w:themeColor="text1"/>
                <w:sz w:val="24"/>
                <w:szCs w:val="24"/>
                <w14:textFill>
                  <w14:solidFill>
                    <w14:schemeClr w14:val="tx1"/>
                  </w14:solidFill>
                </w14:textFill>
              </w:rPr>
              <w:t>（强链延链补链）</w:t>
            </w:r>
          </w:p>
        </w:tc>
      </w:tr>
      <w:tr w14:paraId="1E6C1F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156" w:type="pct"/>
            <w:shd w:val="clear" w:color="auto" w:fill="auto"/>
            <w:vAlign w:val="center"/>
          </w:tcPr>
          <w:p w14:paraId="7BA06D3A">
            <w:pPr>
              <w:snapToGrid w:val="0"/>
              <w:spacing w:line="280" w:lineRule="exact"/>
              <w:jc w:val="center"/>
              <w:rPr>
                <w:rFonts w:ascii="宋体" w:hAnsi="宋体" w:eastAsia="宋体" w:cs="Times New Roman"/>
                <w:sz w:val="24"/>
                <w:szCs w:val="24"/>
              </w:rPr>
            </w:pPr>
            <w:r>
              <w:rPr>
                <w:rFonts w:ascii="宋体" w:hAnsi="宋体" w:eastAsia="宋体" w:cs="Times New Roman"/>
                <w:sz w:val="24"/>
                <w:szCs w:val="24"/>
              </w:rPr>
              <w:t>江西金力永磁科技股份有限公司</w:t>
            </w:r>
          </w:p>
        </w:tc>
        <w:tc>
          <w:tcPr>
            <w:tcW w:w="2653" w:type="pct"/>
            <w:shd w:val="clear" w:color="auto" w:fill="auto"/>
            <w:vAlign w:val="center"/>
          </w:tcPr>
          <w:p w14:paraId="548B3E0F">
            <w:pPr>
              <w:snapToGrid w:val="0"/>
              <w:spacing w:line="280" w:lineRule="exact"/>
              <w:jc w:val="left"/>
              <w:rPr>
                <w:rFonts w:ascii="宋体" w:hAnsi="宋体" w:eastAsia="宋体" w:cs="Times New Roman"/>
                <w:sz w:val="24"/>
                <w:szCs w:val="24"/>
              </w:rPr>
            </w:pPr>
            <w:r>
              <w:rPr>
                <w:rFonts w:ascii="宋体" w:hAnsi="宋体" w:eastAsia="宋体" w:cs="Times New Roman"/>
                <w:sz w:val="24"/>
                <w:szCs w:val="24"/>
              </w:rPr>
              <w:t>研发、生产和销售高性能钕铁硼永磁材料</w:t>
            </w:r>
          </w:p>
        </w:tc>
        <w:tc>
          <w:tcPr>
            <w:tcW w:w="1191" w:type="pct"/>
            <w:shd w:val="clear" w:color="auto" w:fill="auto"/>
            <w:vAlign w:val="center"/>
          </w:tcPr>
          <w:p w14:paraId="7CD8A62E">
            <w:pPr>
              <w:snapToGrid w:val="0"/>
              <w:spacing w:line="280" w:lineRule="exact"/>
              <w:jc w:val="left"/>
              <w:rPr>
                <w:rFonts w:ascii="宋体" w:hAnsi="宋体" w:eastAsia="宋体" w:cs="Times New Roman"/>
                <w:spacing w:val="-10"/>
                <w:sz w:val="24"/>
                <w:szCs w:val="24"/>
              </w:rPr>
            </w:pPr>
            <w:r>
              <w:rPr>
                <w:rFonts w:ascii="宋体" w:hAnsi="宋体" w:eastAsia="宋体" w:cs="Times New Roman"/>
                <w:spacing w:val="-10"/>
                <w:sz w:val="24"/>
                <w:szCs w:val="24"/>
              </w:rPr>
              <w:t>延链：稀土永磁材料</w:t>
            </w:r>
          </w:p>
        </w:tc>
      </w:tr>
      <w:tr w14:paraId="208670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156" w:type="pct"/>
            <w:shd w:val="clear" w:color="auto" w:fill="auto"/>
            <w:vAlign w:val="center"/>
          </w:tcPr>
          <w:p w14:paraId="763AC5CA">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广东嘉元科技</w:t>
            </w:r>
          </w:p>
          <w:p w14:paraId="35074E11">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股份有限公司</w:t>
            </w:r>
          </w:p>
        </w:tc>
        <w:tc>
          <w:tcPr>
            <w:tcW w:w="2653" w:type="pct"/>
            <w:shd w:val="clear" w:color="auto" w:fill="auto"/>
            <w:vAlign w:val="center"/>
          </w:tcPr>
          <w:p w14:paraId="744ABA70">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超薄锂电铜箔和极薄锂电铜箔</w:t>
            </w:r>
          </w:p>
        </w:tc>
        <w:tc>
          <w:tcPr>
            <w:tcW w:w="1191" w:type="pct"/>
            <w:shd w:val="clear" w:color="auto" w:fill="auto"/>
            <w:vAlign w:val="center"/>
          </w:tcPr>
          <w:p w14:paraId="71DF59D7">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延链：铜箔材料</w:t>
            </w:r>
          </w:p>
        </w:tc>
      </w:tr>
      <w:tr w14:paraId="0F3008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156" w:type="pct"/>
            <w:shd w:val="clear" w:color="auto" w:fill="auto"/>
            <w:vAlign w:val="center"/>
          </w:tcPr>
          <w:p w14:paraId="6092535D">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江苏博迁新材料股份有限公司</w:t>
            </w:r>
          </w:p>
        </w:tc>
        <w:tc>
          <w:tcPr>
            <w:tcW w:w="2653" w:type="pct"/>
            <w:shd w:val="clear" w:color="auto" w:fill="auto"/>
            <w:vAlign w:val="center"/>
          </w:tcPr>
          <w:p w14:paraId="689508F9">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高端纳米金属粉体材料研发、生产、销售；电子专用高端金属粉体材料</w:t>
            </w:r>
          </w:p>
        </w:tc>
        <w:tc>
          <w:tcPr>
            <w:tcW w:w="1191" w:type="pct"/>
            <w:shd w:val="clear" w:color="auto" w:fill="auto"/>
            <w:vAlign w:val="center"/>
          </w:tcPr>
          <w:p w14:paraId="388631C4">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延链：电子级金属粉体材料</w:t>
            </w:r>
          </w:p>
        </w:tc>
      </w:tr>
      <w:tr w14:paraId="2A587A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156" w:type="pct"/>
            <w:shd w:val="clear" w:color="auto" w:fill="auto"/>
            <w:vAlign w:val="center"/>
          </w:tcPr>
          <w:p w14:paraId="40D4C0A0">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北京钢研高纳科技股份有限公司</w:t>
            </w:r>
          </w:p>
        </w:tc>
        <w:tc>
          <w:tcPr>
            <w:tcW w:w="2653" w:type="pct"/>
            <w:shd w:val="clear" w:color="auto" w:fill="auto"/>
            <w:vAlign w:val="center"/>
          </w:tcPr>
          <w:p w14:paraId="3CEE8C3F">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铸造高温合金制品、变形高温合金制品、新型高温合金材料</w:t>
            </w:r>
          </w:p>
        </w:tc>
        <w:tc>
          <w:tcPr>
            <w:tcW w:w="1191" w:type="pct"/>
            <w:shd w:val="clear" w:color="auto" w:fill="auto"/>
            <w:vAlign w:val="center"/>
          </w:tcPr>
          <w:p w14:paraId="268729BA">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spacing w:val="-10"/>
                <w:sz w:val="24"/>
                <w:szCs w:val="24"/>
              </w:rPr>
              <w:t>延链：高温合金材料</w:t>
            </w:r>
          </w:p>
        </w:tc>
      </w:tr>
      <w:tr w14:paraId="2551DB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56" w:type="pct"/>
            <w:shd w:val="clear" w:color="auto" w:fill="auto"/>
            <w:vAlign w:val="center"/>
          </w:tcPr>
          <w:p w14:paraId="27D19CE9">
            <w:pPr>
              <w:snapToGrid w:val="0"/>
              <w:spacing w:line="280" w:lineRule="exact"/>
              <w:jc w:val="center"/>
              <w:rPr>
                <w:rFonts w:ascii="宋体" w:hAnsi="宋体" w:eastAsia="宋体" w:cs="Times New Roman"/>
                <w:color w:val="000000" w:themeColor="text1"/>
                <w:kern w:val="0"/>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厦门厦顺铝箔</w:t>
            </w:r>
          </w:p>
          <w:p w14:paraId="1F4FD28B">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有限公司</w:t>
            </w:r>
          </w:p>
        </w:tc>
        <w:tc>
          <w:tcPr>
            <w:tcW w:w="2653" w:type="pct"/>
            <w:shd w:val="clear" w:color="auto" w:fill="auto"/>
            <w:vAlign w:val="center"/>
          </w:tcPr>
          <w:p w14:paraId="544CD558">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生产、加工有色金属复合材料、新型高精度合金材料（含板、带材）；生产、加工食品、医药用高精度超薄铝箔及电容器、散热器用铝箔</w:t>
            </w:r>
          </w:p>
        </w:tc>
        <w:tc>
          <w:tcPr>
            <w:tcW w:w="1191" w:type="pct"/>
            <w:shd w:val="clear" w:color="auto" w:fill="auto"/>
            <w:vAlign w:val="center"/>
          </w:tcPr>
          <w:p w14:paraId="22A16950">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延链：高性能铝箔</w:t>
            </w:r>
          </w:p>
        </w:tc>
      </w:tr>
      <w:tr w14:paraId="76F0A0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56" w:type="pct"/>
            <w:shd w:val="clear" w:color="auto" w:fill="auto"/>
            <w:vAlign w:val="center"/>
          </w:tcPr>
          <w:p w14:paraId="420862B9">
            <w:pPr>
              <w:snapToGrid w:val="0"/>
              <w:spacing w:line="280" w:lineRule="exact"/>
              <w:jc w:val="center"/>
              <w:rPr>
                <w:rFonts w:ascii="宋体" w:hAnsi="宋体" w:eastAsia="宋体" w:cs="Times New Roman"/>
                <w:color w:val="000000" w:themeColor="text1"/>
                <w:kern w:val="0"/>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鼎胜铝业集团</w:t>
            </w:r>
          </w:p>
          <w:p w14:paraId="505CF696">
            <w:pPr>
              <w:snapToGrid w:val="0"/>
              <w:spacing w:line="280" w:lineRule="exact"/>
              <w:jc w:val="center"/>
              <w:rPr>
                <w:rFonts w:ascii="宋体" w:hAnsi="宋体" w:eastAsia="宋体" w:cs="Times New Roman"/>
                <w:color w:val="000000" w:themeColor="text1"/>
                <w:kern w:val="0"/>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有限公司</w:t>
            </w:r>
          </w:p>
        </w:tc>
        <w:tc>
          <w:tcPr>
            <w:tcW w:w="2653" w:type="pct"/>
            <w:shd w:val="clear" w:color="auto" w:fill="auto"/>
            <w:vAlign w:val="center"/>
          </w:tcPr>
          <w:p w14:paraId="196CC597">
            <w:pPr>
              <w:snapToGrid w:val="0"/>
              <w:spacing w:line="280" w:lineRule="exact"/>
              <w:jc w:val="left"/>
              <w:rPr>
                <w:rFonts w:ascii="宋体" w:hAnsi="宋体" w:eastAsia="宋体" w:cs="Times New Roman"/>
                <w:color w:val="000000" w:themeColor="text1"/>
                <w:kern w:val="0"/>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铝合金板材、卷材、</w:t>
            </w:r>
            <w:r>
              <w:fldChar w:fldCharType="begin"/>
            </w:r>
            <w:r>
              <w:instrText xml:space="preserve"> HYPERLINK "https://baike.sogou.com/lemma/ShowInnerLink.htm?lemmaId=46937515&amp;ss_c=ssc.citiao.link" \t "https://baike.sogou.com/_blank" </w:instrText>
            </w:r>
            <w:r>
              <w:fldChar w:fldCharType="separate"/>
            </w:r>
            <w:r>
              <w:rPr>
                <w:rFonts w:ascii="宋体" w:hAnsi="宋体" w:eastAsia="宋体" w:cs="Times New Roman"/>
                <w:color w:val="000000" w:themeColor="text1"/>
                <w:kern w:val="0"/>
                <w:sz w:val="24"/>
                <w:szCs w:val="24"/>
                <w14:textFill>
                  <w14:solidFill>
                    <w14:schemeClr w14:val="tx1"/>
                  </w14:solidFill>
                </w14:textFill>
              </w:rPr>
              <w:t>箔材</w:t>
            </w:r>
            <w:r>
              <w:rPr>
                <w:rFonts w:ascii="宋体" w:hAnsi="宋体" w:eastAsia="宋体" w:cs="Times New Roman"/>
                <w:color w:val="000000" w:themeColor="text1"/>
                <w:kern w:val="0"/>
                <w:sz w:val="24"/>
                <w:szCs w:val="24"/>
                <w14:textFill>
                  <w14:solidFill>
                    <w14:schemeClr w14:val="tx1"/>
                  </w14:solidFill>
                </w14:textFill>
              </w:rPr>
              <w:fldChar w:fldCharType="end"/>
            </w:r>
            <w:r>
              <w:rPr>
                <w:rFonts w:ascii="宋体" w:hAnsi="宋体" w:eastAsia="宋体" w:cs="Times New Roman"/>
                <w:color w:val="000000" w:themeColor="text1"/>
                <w:kern w:val="0"/>
                <w:sz w:val="24"/>
                <w:szCs w:val="24"/>
                <w14:textFill>
                  <w14:solidFill>
                    <w14:schemeClr w14:val="tx1"/>
                  </w14:solidFill>
                </w14:textFill>
              </w:rPr>
              <w:t>、涂层材；软包装箔,烟箔,药箔,家用箔,半刚性容器箔,空调用铝箔、</w:t>
            </w:r>
            <w:r>
              <w:rPr>
                <w:rFonts w:ascii="Times New Roman" w:hAnsi="Times New Roman" w:eastAsia="宋体" w:cs="Times New Roman"/>
                <w:color w:val="000000" w:themeColor="text1"/>
                <w:kern w:val="0"/>
                <w:sz w:val="24"/>
                <w:szCs w:val="24"/>
                <w14:textFill>
                  <w14:solidFill>
                    <w14:schemeClr w14:val="tx1"/>
                  </w14:solidFill>
                </w14:textFill>
              </w:rPr>
              <w:t>P</w:t>
            </w:r>
            <w:r>
              <w:rPr>
                <w:rFonts w:hint="eastAsia" w:ascii="Times New Roman" w:hAnsi="Times New Roman" w:eastAsia="宋体" w:cs="Times New Roman"/>
                <w:color w:val="000000" w:themeColor="text1"/>
                <w:kern w:val="0"/>
                <w:sz w:val="24"/>
                <w:szCs w:val="24"/>
                <w14:textFill>
                  <w14:solidFill>
                    <w14:schemeClr w14:val="tx1"/>
                  </w14:solidFill>
                </w14:textFill>
              </w:rPr>
              <w:t>s</w:t>
            </w:r>
            <w:r>
              <w:rPr>
                <w:rFonts w:ascii="宋体" w:hAnsi="宋体" w:eastAsia="宋体" w:cs="Times New Roman"/>
                <w:color w:val="000000" w:themeColor="text1"/>
                <w:kern w:val="0"/>
                <w:sz w:val="24"/>
                <w:szCs w:val="24"/>
                <w14:textFill>
                  <w14:solidFill>
                    <w14:schemeClr w14:val="tx1"/>
                  </w14:solidFill>
                </w14:textFill>
              </w:rPr>
              <w:t>印刷版基、幕墙板等</w:t>
            </w:r>
          </w:p>
        </w:tc>
        <w:tc>
          <w:tcPr>
            <w:tcW w:w="1191" w:type="pct"/>
            <w:shd w:val="clear" w:color="auto" w:fill="auto"/>
            <w:vAlign w:val="center"/>
          </w:tcPr>
          <w:p w14:paraId="7CE4F750">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延链、强链：铝基新材料</w:t>
            </w:r>
          </w:p>
        </w:tc>
      </w:tr>
      <w:tr w14:paraId="5F3274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156" w:type="pct"/>
            <w:shd w:val="clear" w:color="auto" w:fill="auto"/>
            <w:vAlign w:val="center"/>
          </w:tcPr>
          <w:p w14:paraId="084AA386">
            <w:pPr>
              <w:snapToGrid w:val="0"/>
              <w:spacing w:line="280" w:lineRule="exact"/>
              <w:jc w:val="center"/>
              <w:rPr>
                <w:rFonts w:ascii="宋体" w:hAnsi="宋体" w:eastAsia="宋体" w:cs="Times New Roman"/>
                <w:color w:val="000000" w:themeColor="text1"/>
                <w:kern w:val="0"/>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山东宏创铝业控股股份有限公司</w:t>
            </w:r>
          </w:p>
        </w:tc>
        <w:tc>
          <w:tcPr>
            <w:tcW w:w="2653" w:type="pct"/>
            <w:shd w:val="clear" w:color="auto" w:fill="auto"/>
            <w:vAlign w:val="center"/>
          </w:tcPr>
          <w:p w14:paraId="32700EBE">
            <w:pPr>
              <w:snapToGrid w:val="0"/>
              <w:spacing w:line="280" w:lineRule="exact"/>
              <w:jc w:val="left"/>
              <w:rPr>
                <w:rFonts w:ascii="宋体" w:hAnsi="宋体" w:eastAsia="宋体" w:cs="Times New Roman"/>
                <w:color w:val="000000" w:themeColor="text1"/>
                <w:kern w:val="0"/>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家用铝箔、药用铝箔、容器铝箔、空调铝箔</w:t>
            </w:r>
          </w:p>
        </w:tc>
        <w:tc>
          <w:tcPr>
            <w:tcW w:w="1191" w:type="pct"/>
            <w:shd w:val="clear" w:color="auto" w:fill="auto"/>
            <w:vAlign w:val="center"/>
          </w:tcPr>
          <w:p w14:paraId="0FF2584E">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延链：铝基新材料</w:t>
            </w:r>
          </w:p>
        </w:tc>
      </w:tr>
      <w:tr w14:paraId="08B793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56" w:type="pct"/>
            <w:shd w:val="clear" w:color="auto" w:fill="auto"/>
            <w:vAlign w:val="center"/>
          </w:tcPr>
          <w:p w14:paraId="2DADA18F">
            <w:pPr>
              <w:snapToGrid w:val="0"/>
              <w:spacing w:line="280" w:lineRule="exact"/>
              <w:jc w:val="center"/>
              <w:rPr>
                <w:rFonts w:ascii="宋体" w:hAnsi="宋体" w:eastAsia="宋体" w:cs="Times New Roman"/>
                <w:color w:val="000000" w:themeColor="text1"/>
                <w:kern w:val="0"/>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浙江久立特材科技股份有限公司</w:t>
            </w:r>
          </w:p>
        </w:tc>
        <w:tc>
          <w:tcPr>
            <w:tcW w:w="2653" w:type="pct"/>
            <w:shd w:val="clear" w:color="auto" w:fill="auto"/>
            <w:vAlign w:val="center"/>
          </w:tcPr>
          <w:p w14:paraId="791BB31A">
            <w:pPr>
              <w:snapToGrid w:val="0"/>
              <w:spacing w:line="280" w:lineRule="exact"/>
              <w:jc w:val="left"/>
              <w:rPr>
                <w:rFonts w:ascii="宋体" w:hAnsi="宋体" w:eastAsia="宋体" w:cs="Times New Roman"/>
                <w:color w:val="000000" w:themeColor="text1"/>
                <w:kern w:val="0"/>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工业用不锈钢及特种合金管材、双金属复合管材</w:t>
            </w:r>
          </w:p>
        </w:tc>
        <w:tc>
          <w:tcPr>
            <w:tcW w:w="1191" w:type="pct"/>
            <w:shd w:val="clear" w:color="auto" w:fill="auto"/>
            <w:vAlign w:val="center"/>
          </w:tcPr>
          <w:p w14:paraId="36B2E994">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延链：特钢材料</w:t>
            </w:r>
          </w:p>
        </w:tc>
      </w:tr>
      <w:tr w14:paraId="5A7FEA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56" w:type="pct"/>
            <w:shd w:val="clear" w:color="auto" w:fill="auto"/>
            <w:vAlign w:val="center"/>
          </w:tcPr>
          <w:p w14:paraId="059FB370">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安徽众源新材料股份有限公司</w:t>
            </w:r>
          </w:p>
        </w:tc>
        <w:tc>
          <w:tcPr>
            <w:tcW w:w="2653" w:type="pct"/>
            <w:shd w:val="clear" w:color="auto" w:fill="auto"/>
            <w:vAlign w:val="center"/>
          </w:tcPr>
          <w:p w14:paraId="5AB3864F">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有色金属带箔生产、加工、销售；有色金属材料加工、销售；紫铜带箔材系列</w:t>
            </w:r>
          </w:p>
        </w:tc>
        <w:tc>
          <w:tcPr>
            <w:tcW w:w="1191" w:type="pct"/>
            <w:shd w:val="clear" w:color="auto" w:fill="auto"/>
            <w:vAlign w:val="center"/>
          </w:tcPr>
          <w:p w14:paraId="34346E80">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延链：铜箔</w:t>
            </w:r>
          </w:p>
        </w:tc>
      </w:tr>
      <w:tr w14:paraId="30295D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56" w:type="pct"/>
            <w:shd w:val="clear" w:color="auto" w:fill="auto"/>
            <w:vAlign w:val="center"/>
          </w:tcPr>
          <w:p w14:paraId="784AC3EF">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有研粉末新材料股份有限公司</w:t>
            </w:r>
          </w:p>
        </w:tc>
        <w:tc>
          <w:tcPr>
            <w:tcW w:w="2653" w:type="pct"/>
            <w:shd w:val="clear" w:color="auto" w:fill="auto"/>
            <w:vAlign w:val="center"/>
          </w:tcPr>
          <w:p w14:paraId="674B9F7C">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生产有色金属材料、粉末、粉末冶金材料、丝材；销售有色金属材料、粉末、粉末冶金材料、丝材及技术开发</w:t>
            </w:r>
          </w:p>
        </w:tc>
        <w:tc>
          <w:tcPr>
            <w:tcW w:w="1191" w:type="pct"/>
            <w:shd w:val="clear" w:color="auto" w:fill="auto"/>
            <w:vAlign w:val="center"/>
          </w:tcPr>
          <w:p w14:paraId="5B323508">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强链：金属粉体</w:t>
            </w:r>
          </w:p>
        </w:tc>
      </w:tr>
      <w:tr w14:paraId="1387D2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56" w:type="pct"/>
            <w:shd w:val="clear" w:color="auto" w:fill="auto"/>
            <w:vAlign w:val="center"/>
          </w:tcPr>
          <w:p w14:paraId="0FDCAFBB">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杭州华光焊接</w:t>
            </w:r>
          </w:p>
          <w:p w14:paraId="7A963E9E">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新材料股份</w:t>
            </w:r>
          </w:p>
          <w:p w14:paraId="3DFCAE83">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有限公司</w:t>
            </w:r>
          </w:p>
        </w:tc>
        <w:tc>
          <w:tcPr>
            <w:tcW w:w="2653" w:type="pct"/>
            <w:shd w:val="clear" w:color="auto" w:fill="auto"/>
            <w:vAlign w:val="center"/>
          </w:tcPr>
          <w:p w14:paraId="21BFB58D">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焊接材料、制冷配件的技术咨询；销售：焊接设备，焊接材料，制冷配件，金属材料，电子浆料，化工制品，化工原料</w:t>
            </w:r>
          </w:p>
        </w:tc>
        <w:tc>
          <w:tcPr>
            <w:tcW w:w="1191" w:type="pct"/>
            <w:shd w:val="clear" w:color="auto" w:fill="auto"/>
            <w:vAlign w:val="center"/>
          </w:tcPr>
          <w:p w14:paraId="52A4B385">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强链：焊接材料</w:t>
            </w:r>
          </w:p>
        </w:tc>
      </w:tr>
      <w:tr w14:paraId="7F5004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56" w:type="pct"/>
            <w:shd w:val="clear" w:color="auto" w:fill="auto"/>
            <w:vAlign w:val="center"/>
          </w:tcPr>
          <w:p w14:paraId="57826573">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江阴电工合金</w:t>
            </w:r>
          </w:p>
          <w:p w14:paraId="5C98DDE6">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股份有限公司</w:t>
            </w:r>
          </w:p>
        </w:tc>
        <w:tc>
          <w:tcPr>
            <w:tcW w:w="2653" w:type="pct"/>
            <w:shd w:val="clear" w:color="auto" w:fill="auto"/>
            <w:vAlign w:val="center"/>
          </w:tcPr>
          <w:p w14:paraId="6F85B0CB">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铜及铜合金承力索、电工合金、铜接触线、铜合金接触线、母线、扁线、银铜梯排、异型排、换向器片、铜和铜合金管材、棒材及其铜和铜合金制品、铝和铝合金制品、不锈钢制品、电线电缆、电子元件及组件</w:t>
            </w:r>
          </w:p>
        </w:tc>
        <w:tc>
          <w:tcPr>
            <w:tcW w:w="1191" w:type="pct"/>
            <w:shd w:val="clear" w:color="auto" w:fill="auto"/>
            <w:vAlign w:val="center"/>
          </w:tcPr>
          <w:p w14:paraId="76DC5FB1">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强链：铜合金材料</w:t>
            </w:r>
          </w:p>
        </w:tc>
      </w:tr>
      <w:tr w14:paraId="093A2B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56" w:type="pct"/>
            <w:shd w:val="clear" w:color="auto" w:fill="auto"/>
            <w:vAlign w:val="center"/>
          </w:tcPr>
          <w:p w14:paraId="3BCBB425">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宁波博威合金材料股份有限公司</w:t>
            </w:r>
          </w:p>
        </w:tc>
        <w:tc>
          <w:tcPr>
            <w:tcW w:w="2653" w:type="pct"/>
            <w:shd w:val="clear" w:color="auto" w:fill="auto"/>
            <w:vAlign w:val="center"/>
          </w:tcPr>
          <w:p w14:paraId="10CAD353">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有色合金材料、高温超导材料、铜合金制品、不锈钢制品、钛金属制品的设计、开发、制造、加工</w:t>
            </w:r>
          </w:p>
        </w:tc>
        <w:tc>
          <w:tcPr>
            <w:tcW w:w="1191" w:type="pct"/>
            <w:shd w:val="clear" w:color="auto" w:fill="auto"/>
            <w:vAlign w:val="center"/>
          </w:tcPr>
          <w:p w14:paraId="5019CF7F">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强链：铜合金材料</w:t>
            </w:r>
          </w:p>
        </w:tc>
      </w:tr>
      <w:tr w14:paraId="726FC4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56" w:type="pct"/>
            <w:shd w:val="clear" w:color="auto" w:fill="auto"/>
            <w:vAlign w:val="center"/>
          </w:tcPr>
          <w:p w14:paraId="17AD652E">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西部超导材料科技股份有限公司</w:t>
            </w:r>
          </w:p>
        </w:tc>
        <w:tc>
          <w:tcPr>
            <w:tcW w:w="2653" w:type="pct"/>
            <w:shd w:val="clear" w:color="auto" w:fill="auto"/>
            <w:vAlign w:val="center"/>
          </w:tcPr>
          <w:p w14:paraId="720F55EC">
            <w:pPr>
              <w:snapToGrid w:val="0"/>
              <w:spacing w:line="280" w:lineRule="exact"/>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低温超导材料、高温超导材料、钛及钛合金材料、高温合金材料、铪材料、机电设备(小轿车除外)及部件的生产、开发、销售和技术咨询</w:t>
            </w:r>
          </w:p>
        </w:tc>
        <w:tc>
          <w:tcPr>
            <w:tcW w:w="1191" w:type="pct"/>
            <w:shd w:val="clear" w:color="auto" w:fill="auto"/>
            <w:vAlign w:val="center"/>
          </w:tcPr>
          <w:p w14:paraId="51603220">
            <w:pPr>
              <w:snapToGrid w:val="0"/>
              <w:spacing w:line="28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补链：合金材料</w:t>
            </w:r>
          </w:p>
        </w:tc>
      </w:tr>
      <w:tr w14:paraId="190C9B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56" w:type="pct"/>
            <w:shd w:val="clear" w:color="auto" w:fill="auto"/>
            <w:vAlign w:val="center"/>
          </w:tcPr>
          <w:p w14:paraId="2A1B8FBB">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西部金属材料</w:t>
            </w:r>
          </w:p>
          <w:p w14:paraId="44E46C02">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股份有限公司</w:t>
            </w:r>
          </w:p>
        </w:tc>
        <w:tc>
          <w:tcPr>
            <w:tcW w:w="2653" w:type="pct"/>
            <w:shd w:val="clear" w:color="auto" w:fill="auto"/>
            <w:vAlign w:val="center"/>
          </w:tcPr>
          <w:p w14:paraId="0A1063C5">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sz w:val="24"/>
                <w:szCs w:val="24"/>
              </w:rPr>
              <w:t>稀有金属材料的板、带、箔、丝棒、管及其深加工产品、复合材料及装备和稀贵金属等新型材料的开发、生产和销售</w:t>
            </w:r>
          </w:p>
        </w:tc>
        <w:tc>
          <w:tcPr>
            <w:tcW w:w="1191" w:type="pct"/>
            <w:shd w:val="clear" w:color="auto" w:fill="auto"/>
            <w:vAlign w:val="center"/>
          </w:tcPr>
          <w:p w14:paraId="31D02448">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补链：金属材料</w:t>
            </w:r>
          </w:p>
        </w:tc>
      </w:tr>
    </w:tbl>
    <w:p w14:paraId="13C873AE">
      <w:pPr>
        <w:pStyle w:val="3"/>
        <w:pageBreakBefore w:val="0"/>
        <w:widowControl w:val="0"/>
        <w:kinsoku/>
        <w:wordWrap/>
        <w:overflowPunct/>
        <w:topLinePunct w:val="0"/>
        <w:autoSpaceDE/>
        <w:autoSpaceDN/>
        <w:bidi w:val="0"/>
        <w:adjustRightInd/>
        <w:snapToGrid/>
        <w:spacing w:line="590" w:lineRule="exact"/>
        <w:textAlignment w:val="auto"/>
        <w:rPr>
          <w:rFonts w:hint="eastAsia" w:ascii="方正楷体_GBK" w:hAnsi="方正楷体_GBK" w:eastAsia="方正楷体_GBK" w:cs="方正楷体_GBK"/>
          <w:b w:val="0"/>
          <w:bCs/>
        </w:rPr>
      </w:pPr>
      <w:bookmarkStart w:id="40" w:name="_Toc9640"/>
      <w:bookmarkStart w:id="41" w:name="_Toc76137877"/>
      <w:bookmarkStart w:id="42" w:name="_Toc76137559"/>
      <w:bookmarkStart w:id="43" w:name="_Toc76137906"/>
      <w:r>
        <w:rPr>
          <w:rFonts w:hint="eastAsia" w:ascii="方正楷体_GBK" w:hAnsi="方正楷体_GBK" w:eastAsia="方正楷体_GBK" w:cs="方正楷体_GBK"/>
          <w:b w:val="0"/>
          <w:bCs/>
        </w:rPr>
        <w:t>第二节 壮大发展三大支撑性产业</w:t>
      </w:r>
      <w:bookmarkEnd w:id="40"/>
      <w:bookmarkEnd w:id="41"/>
      <w:bookmarkEnd w:id="42"/>
      <w:bookmarkEnd w:id="43"/>
    </w:p>
    <w:p w14:paraId="0C0A93FC">
      <w:pPr>
        <w:pStyle w:val="4"/>
        <w:pageBreakBefore w:val="0"/>
        <w:widowControl w:val="0"/>
        <w:kinsoku/>
        <w:wordWrap/>
        <w:overflowPunct/>
        <w:topLinePunct w:val="0"/>
        <w:autoSpaceDE/>
        <w:autoSpaceDN/>
        <w:bidi w:val="0"/>
        <w:adjustRightInd/>
        <w:snapToGrid/>
        <w:spacing w:before="0" w:after="0" w:line="590" w:lineRule="exact"/>
        <w:ind w:firstLine="640" w:firstLineChars="200"/>
        <w:textAlignment w:val="auto"/>
        <w:rPr>
          <w:rFonts w:hint="eastAsia" w:ascii="方正黑体_GBK" w:hAnsi="方正黑体_GBK" w:eastAsia="方正黑体_GBK" w:cs="方正黑体_GBK"/>
          <w:b w:val="0"/>
          <w:color w:val="000000" w:themeColor="text1"/>
          <w14:textFill>
            <w14:solidFill>
              <w14:schemeClr w14:val="tx1"/>
            </w14:solidFill>
          </w14:textFill>
        </w:rPr>
      </w:pPr>
      <w:bookmarkStart w:id="44" w:name="_Toc76137907"/>
      <w:bookmarkStart w:id="45" w:name="_Toc76137878"/>
      <w:r>
        <w:rPr>
          <w:rFonts w:hint="eastAsia" w:ascii="方正黑体_GBK" w:hAnsi="方正黑体_GBK" w:eastAsia="方正黑体_GBK" w:cs="方正黑体_GBK"/>
          <w:b w:val="0"/>
          <w:color w:val="000000" w:themeColor="text1"/>
          <w14:textFill>
            <w14:solidFill>
              <w14:schemeClr w14:val="tx1"/>
            </w14:solidFill>
          </w14:textFill>
        </w:rPr>
        <w:t>一、新一代信息技术</w:t>
      </w:r>
      <w:bookmarkEnd w:id="44"/>
      <w:bookmarkEnd w:id="45"/>
    </w:p>
    <w:p w14:paraId="0CDBDFC0">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（一）发展思路和目标</w:t>
      </w:r>
    </w:p>
    <w:p w14:paraId="6A237AE0">
      <w:pPr>
        <w:pageBreakBefore w:val="0"/>
        <w:widowControl w:val="0"/>
        <w:kinsoku/>
        <w:wordWrap/>
        <w:overflowPunct/>
        <w:topLinePunct w:val="0"/>
        <w:autoSpaceDE/>
        <w:autoSpaceDN/>
        <w:bidi w:val="0"/>
        <w:adjustRightInd/>
        <w:snapToGrid/>
        <w:spacing w:line="59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以规模化、集群化、特色化发展为目标，大力延伸新一代信息技术产业链，培育一批优质企业，力争到</w:t>
      </w:r>
      <w:r>
        <w:rPr>
          <w:rFonts w:ascii="Times New Roman" w:hAnsi="Times New Roman" w:eastAsia="仿宋_GB2312" w:cs="Times New Roman"/>
          <w:color w:val="000000" w:themeColor="text1"/>
          <w:sz w:val="32"/>
          <w:szCs w:val="32"/>
          <w14:textFill>
            <w14:solidFill>
              <w14:schemeClr w14:val="tx1"/>
            </w14:solidFill>
          </w14:textFill>
        </w:rPr>
        <w:t>2025</w:t>
      </w:r>
      <w:r>
        <w:rPr>
          <w:rFonts w:hint="eastAsia" w:ascii="方正仿宋_GBK" w:hAnsi="方正仿宋_GBK" w:eastAsia="方正仿宋_GBK" w:cs="方正仿宋_GBK"/>
          <w:color w:val="000000" w:themeColor="text1"/>
          <w:sz w:val="32"/>
          <w:szCs w:val="32"/>
          <w14:textFill>
            <w14:solidFill>
              <w14:schemeClr w14:val="tx1"/>
            </w14:solidFill>
          </w14:textFill>
        </w:rPr>
        <w:t>年，全区新一代信息技术产业产值达</w:t>
      </w:r>
      <w:r>
        <w:rPr>
          <w:rFonts w:ascii="Times New Roman" w:hAnsi="Times New Roman" w:eastAsia="仿宋_GB2312" w:cs="Times New Roman"/>
          <w:color w:val="000000" w:themeColor="text1"/>
          <w:sz w:val="32"/>
          <w:szCs w:val="32"/>
          <w14:textFill>
            <w14:solidFill>
              <w14:schemeClr w14:val="tx1"/>
            </w14:solidFill>
          </w14:textFill>
        </w:rPr>
        <w:t>10</w:t>
      </w:r>
      <w:r>
        <w:rPr>
          <w:rFonts w:hint="eastAsia" w:ascii="方正仿宋_GBK" w:hAnsi="方正仿宋_GBK" w:eastAsia="方正仿宋_GBK" w:cs="方正仿宋_GBK"/>
          <w:color w:val="000000" w:themeColor="text1"/>
          <w:sz w:val="32"/>
          <w:szCs w:val="32"/>
          <w14:textFill>
            <w14:solidFill>
              <w14:schemeClr w14:val="tx1"/>
            </w14:solidFill>
          </w14:textFill>
        </w:rPr>
        <w:t>亿元。</w:t>
      </w:r>
    </w:p>
    <w:p w14:paraId="6E2DD111">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（二）发展重点</w:t>
      </w:r>
    </w:p>
    <w:p w14:paraId="6EBA7661">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依托义安新一代信息技术产业发展基础，重点发展表面贴装元器件、光有源器件、半导体分立器件等电子元器件领域；依托铜产业基础，布局发展光电子材料、电子功能陶瓷材料等领域。抢抓“新基建”发展机遇，加速发展通信光缆、通信元器件的</w:t>
      </w:r>
      <w:r>
        <w:rPr>
          <w:rFonts w:ascii="Times New Roman" w:hAnsi="Times New Roman" w:eastAsia="仿宋_GB2312" w:cs="Times New Roman"/>
          <w:color w:val="000000" w:themeColor="text1"/>
          <w:sz w:val="32"/>
          <w:szCs w:val="32"/>
          <w14:textFill>
            <w14:solidFill>
              <w14:schemeClr w14:val="tx1"/>
            </w14:solidFill>
          </w14:textFill>
        </w:rPr>
        <w:t>5G</w:t>
      </w:r>
      <w:r>
        <w:rPr>
          <w:rFonts w:hint="eastAsia" w:ascii="方正仿宋_GBK" w:hAnsi="方正仿宋_GBK" w:eastAsia="方正仿宋_GBK" w:cs="方正仿宋_GBK"/>
          <w:color w:val="000000" w:themeColor="text1"/>
          <w:sz w:val="32"/>
          <w:szCs w:val="32"/>
          <w14:textFill>
            <w14:solidFill>
              <w14:schemeClr w14:val="tx1"/>
            </w14:solidFill>
          </w14:textFill>
        </w:rPr>
        <w:t>通信设备领域。</w:t>
      </w:r>
    </w:p>
    <w:p w14:paraId="025C552A">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（三）发展路径</w:t>
      </w:r>
    </w:p>
    <w:p w14:paraId="2B3BCB5B">
      <w:pPr>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b/>
          <w:bCs/>
          <w:color w:val="000000" w:themeColor="text1"/>
          <w:sz w:val="32"/>
          <w:szCs w:val="32"/>
          <w14:textFill>
            <w14:solidFill>
              <w14:schemeClr w14:val="tx1"/>
            </w14:solidFill>
          </w14:textFill>
        </w:rPr>
      </w:pPr>
      <w:r>
        <w:rPr>
          <w:rFonts w:ascii="Times New Roman" w:hAnsi="Times New Roman" w:eastAsia="仿宋_GB2312" w:cs="Times New Roman"/>
          <w:b/>
          <w:bCs/>
          <w:color w:val="000000" w:themeColor="text1"/>
          <w:sz w:val="32"/>
          <w:szCs w:val="32"/>
          <w14:textFill>
            <w14:solidFill>
              <w14:schemeClr w14:val="tx1"/>
            </w14:solidFill>
          </w14:textFill>
        </w:rPr>
        <w:t>1</w:t>
      </w:r>
      <w:r>
        <w:rPr>
          <w:rFonts w:hint="eastAsia" w:ascii="Times New Roman" w:hAnsi="Times New Roman" w:eastAsia="仿宋_GB2312" w:cs="Times New Roman"/>
          <w:b/>
          <w:bCs/>
          <w:color w:val="000000" w:themeColor="text1"/>
          <w:sz w:val="32"/>
          <w:szCs w:val="32"/>
          <w14:textFill>
            <w14:solidFill>
              <w14:schemeClr w14:val="tx1"/>
            </w14:solidFill>
          </w14:textFill>
        </w:rPr>
        <w:t>．</w:t>
      </w:r>
      <w:r>
        <w:rPr>
          <w:rFonts w:hint="eastAsia" w:ascii="方正仿宋_GBK" w:hAnsi="方正仿宋_GBK" w:eastAsia="方正仿宋_GBK" w:cs="方正仿宋_GBK"/>
          <w:b/>
          <w:bCs/>
          <w:color w:val="000000" w:themeColor="text1"/>
          <w:sz w:val="32"/>
          <w:szCs w:val="32"/>
          <w14:textFill>
            <w14:solidFill>
              <w14:schemeClr w14:val="tx1"/>
            </w14:solidFill>
          </w14:textFill>
        </w:rPr>
        <w:t>壮大电子元器件产业集群</w:t>
      </w:r>
    </w:p>
    <w:p w14:paraId="2FF52426">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shd w:val="clear" w:color="auto" w:fill="FFFFFF"/>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抢抓合肥</w:t>
      </w:r>
      <w:r>
        <w:rPr>
          <w:rFonts w:hint="eastAsia" w:ascii="方正仿宋_GBK" w:hAnsi="方正仿宋_GBK" w:eastAsia="方正仿宋_GBK" w:cs="方正仿宋_GBK"/>
          <w:color w:val="333333"/>
          <w:sz w:val="32"/>
          <w:szCs w:val="32"/>
        </w:rPr>
        <w:t>“</w:t>
      </w:r>
      <w:r>
        <w:rPr>
          <w:rFonts w:hint="eastAsia" w:ascii="方正仿宋_GBK" w:hAnsi="方正仿宋_GBK" w:eastAsia="方正仿宋_GBK" w:cs="方正仿宋_GBK"/>
          <w:color w:val="000000" w:themeColor="text1"/>
          <w:sz w:val="32"/>
          <w:szCs w:val="32"/>
          <w:shd w:val="clear" w:color="auto" w:fill="FFFFFF"/>
          <w14:textFill>
            <w14:solidFill>
              <w14:schemeClr w14:val="tx1"/>
            </w14:solidFill>
          </w14:textFill>
        </w:rPr>
        <w:t>芯屏汽合”产业发展机遇，扩大</w:t>
      </w:r>
      <w:r>
        <w:rPr>
          <w:rFonts w:hint="eastAsia" w:ascii="方正仿宋_GBK" w:hAnsi="方正仿宋_GBK" w:eastAsia="方正仿宋_GBK" w:cs="方正仿宋_GBK"/>
          <w:color w:val="000000" w:themeColor="text1"/>
          <w:sz w:val="32"/>
          <w:szCs w:val="32"/>
          <w14:textFill>
            <w14:solidFill>
              <w14:schemeClr w14:val="tx1"/>
            </w14:solidFill>
          </w14:textFill>
        </w:rPr>
        <w:t>表面贴装元器件、光有源器件、半导体分立器件等电子元器件生产规模，提升对合肥新一代信息技术产业配套能力。依托以</w:t>
      </w:r>
      <w:r>
        <w:rPr>
          <w:rFonts w:hint="eastAsia" w:ascii="方正仿宋_GBK" w:hAnsi="方正仿宋_GBK" w:eastAsia="方正仿宋_GBK" w:cs="方正仿宋_GBK"/>
          <w:color w:val="000000" w:themeColor="text1"/>
          <w:sz w:val="32"/>
          <w:szCs w:val="32"/>
          <w:shd w:val="clear" w:color="auto" w:fill="FFFFFF"/>
          <w14:textFill>
            <w14:solidFill>
              <w14:schemeClr w14:val="tx1"/>
            </w14:solidFill>
          </w14:textFill>
        </w:rPr>
        <w:t>富乐德为代表的半导体产业发展基础，延伸发展半导体关键元器件生产等领域，聚焦电子功能器件、陶瓷元器件、碳化硅、半导体功率基板器件、通用容器、电阻、电感等领域，在长三角等地加大招商力度，壮大义安区电子元器件产业规模，和本地半导体产业加强联动形成合力。</w:t>
      </w:r>
    </w:p>
    <w:p w14:paraId="6A789839">
      <w:pPr>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b/>
          <w:bCs/>
          <w:color w:val="000000" w:themeColor="text1"/>
          <w:sz w:val="32"/>
          <w:szCs w:val="32"/>
          <w14:textFill>
            <w14:solidFill>
              <w14:schemeClr w14:val="tx1"/>
            </w14:solidFill>
          </w14:textFill>
        </w:rPr>
      </w:pPr>
      <w:r>
        <w:rPr>
          <w:rFonts w:ascii="Times New Roman" w:hAnsi="Times New Roman" w:eastAsia="仿宋_GB2312" w:cs="Times New Roman"/>
          <w:b/>
          <w:bCs/>
          <w:color w:val="000000" w:themeColor="text1"/>
          <w:sz w:val="32"/>
          <w:szCs w:val="32"/>
          <w14:textFill>
            <w14:solidFill>
              <w14:schemeClr w14:val="tx1"/>
            </w14:solidFill>
          </w14:textFill>
        </w:rPr>
        <w:t>2</w:t>
      </w:r>
      <w:r>
        <w:rPr>
          <w:rFonts w:hint="eastAsia" w:ascii="Times New Roman" w:hAnsi="Times New Roman" w:eastAsia="仿宋_GB2312" w:cs="Times New Roman"/>
          <w:b/>
          <w:bCs/>
          <w:color w:val="000000" w:themeColor="text1"/>
          <w:sz w:val="32"/>
          <w:szCs w:val="32"/>
          <w14:textFill>
            <w14:solidFill>
              <w14:schemeClr w14:val="tx1"/>
            </w14:solidFill>
          </w14:textFill>
        </w:rPr>
        <w:t>．</w:t>
      </w:r>
      <w:r>
        <w:rPr>
          <w:rFonts w:hint="eastAsia" w:ascii="方正仿宋_GBK" w:hAnsi="方正仿宋_GBK" w:eastAsia="方正仿宋_GBK" w:cs="方正仿宋_GBK"/>
          <w:b/>
          <w:bCs/>
          <w:color w:val="000000" w:themeColor="text1"/>
          <w:sz w:val="32"/>
          <w:szCs w:val="32"/>
          <w14:textFill>
            <w14:solidFill>
              <w14:schemeClr w14:val="tx1"/>
            </w14:solidFill>
          </w14:textFill>
        </w:rPr>
        <w:t>完善半导体产业链</w:t>
      </w:r>
    </w:p>
    <w:p w14:paraId="2F74BB6B">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依托铜资源优势，积极发展电解铜—铜板带—半导体引线框架加工产业链，壮大本地半导体产业规模。加速富乐德长江半导体二期和三期项目建设，延伸发展回收硅片再生晶圆和大硅片（抛光片）等半导体上游环节，完善半导体产业链。加速推进铜勤表面处理产业园建设，依托表面处理产业基础和电镀技术等优势，向引线框架无氰电镀、微波混合集成电路电镀等电子电镀技术转型，延伸发展半导体模组、半导体生产等领域。依托半导体增值服务产业园，大力拓展半导体增值服务产业，扩大半导体设备清洗、</w:t>
      </w:r>
      <w:r>
        <w:rPr>
          <w:rFonts w:ascii="Times New Roman" w:hAnsi="Times New Roman" w:eastAsia="仿宋_GB2312" w:cs="Times New Roman"/>
          <w:color w:val="000000" w:themeColor="text1"/>
          <w:sz w:val="32"/>
          <w:szCs w:val="32"/>
          <w14:textFill>
            <w14:solidFill>
              <w14:schemeClr w14:val="tx1"/>
            </w14:solidFill>
          </w14:textFill>
        </w:rPr>
        <w:t>TFT</w:t>
      </w:r>
      <w:r>
        <w:rPr>
          <w:rFonts w:hint="eastAsia" w:ascii="方正仿宋_GBK" w:hAnsi="方正仿宋_GBK" w:eastAsia="方正仿宋_GBK" w:cs="方正仿宋_GBK"/>
          <w:color w:val="000000" w:themeColor="text1"/>
          <w:sz w:val="32"/>
          <w:szCs w:val="32"/>
          <w14:textFill>
            <w14:solidFill>
              <w14:schemeClr w14:val="tx1"/>
            </w14:solidFill>
          </w14:textFill>
        </w:rPr>
        <w:t>洗净、陶瓷熔射和半导体部品维等半导体服务业务规模。</w:t>
      </w:r>
    </w:p>
    <w:p w14:paraId="2C46C340">
      <w:pPr>
        <w:pageBreakBefore w:val="0"/>
        <w:widowControl w:val="0"/>
        <w:numPr>
          <w:ilvl w:val="255"/>
          <w:numId w:val="0"/>
        </w:numPr>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b/>
          <w:bCs/>
          <w:color w:val="000000" w:themeColor="text1"/>
          <w:sz w:val="32"/>
          <w:szCs w:val="32"/>
          <w14:textFill>
            <w14:solidFill>
              <w14:schemeClr w14:val="tx1"/>
            </w14:solidFill>
          </w14:textFill>
        </w:rPr>
      </w:pPr>
      <w:r>
        <w:rPr>
          <w:rFonts w:ascii="Times New Roman" w:hAnsi="Times New Roman" w:eastAsia="仿宋_GB2312" w:cs="Times New Roman"/>
          <w:b/>
          <w:bCs/>
          <w:color w:val="000000" w:themeColor="text1"/>
          <w:sz w:val="32"/>
          <w:szCs w:val="32"/>
          <w14:textFill>
            <w14:solidFill>
              <w14:schemeClr w14:val="tx1"/>
            </w14:solidFill>
          </w14:textFill>
        </w:rPr>
        <w:t>3</w:t>
      </w:r>
      <w:r>
        <w:rPr>
          <w:rFonts w:hint="eastAsia" w:ascii="Times New Roman" w:hAnsi="Times New Roman" w:eastAsia="仿宋_GB2312" w:cs="Times New Roman"/>
          <w:b/>
          <w:bCs/>
          <w:color w:val="000000" w:themeColor="text1"/>
          <w:sz w:val="32"/>
          <w:szCs w:val="32"/>
          <w14:textFill>
            <w14:solidFill>
              <w14:schemeClr w14:val="tx1"/>
            </w14:solidFill>
          </w14:textFill>
        </w:rPr>
        <w:t>．</w:t>
      </w:r>
      <w:r>
        <w:rPr>
          <w:rFonts w:hint="eastAsia" w:ascii="方正仿宋_GBK" w:hAnsi="方正仿宋_GBK" w:eastAsia="方正仿宋_GBK" w:cs="方正仿宋_GBK"/>
          <w:b/>
          <w:bCs/>
          <w:color w:val="000000" w:themeColor="text1"/>
          <w:sz w:val="32"/>
          <w:szCs w:val="32"/>
          <w14:textFill>
            <w14:solidFill>
              <w14:schemeClr w14:val="tx1"/>
            </w14:solidFill>
          </w14:textFill>
        </w:rPr>
        <w:t>培育发展</w:t>
      </w:r>
      <w:r>
        <w:rPr>
          <w:rFonts w:ascii="Times New Roman" w:hAnsi="Times New Roman" w:eastAsia="仿宋_GB2312" w:cs="Times New Roman"/>
          <w:b/>
          <w:bCs/>
          <w:color w:val="000000" w:themeColor="text1"/>
          <w:sz w:val="32"/>
          <w:szCs w:val="32"/>
          <w14:textFill>
            <w14:solidFill>
              <w14:schemeClr w14:val="tx1"/>
            </w14:solidFill>
          </w14:textFill>
        </w:rPr>
        <w:t>5G</w:t>
      </w:r>
      <w:r>
        <w:rPr>
          <w:rFonts w:hint="eastAsia" w:ascii="方正仿宋_GBK" w:hAnsi="方正仿宋_GBK" w:eastAsia="方正仿宋_GBK" w:cs="方正仿宋_GBK"/>
          <w:b/>
          <w:bCs/>
          <w:color w:val="000000" w:themeColor="text1"/>
          <w:sz w:val="32"/>
          <w:szCs w:val="32"/>
          <w14:textFill>
            <w14:solidFill>
              <w14:schemeClr w14:val="tx1"/>
            </w14:solidFill>
          </w14:textFill>
        </w:rPr>
        <w:t>产业</w:t>
      </w:r>
    </w:p>
    <w:p w14:paraId="31BD3DC0">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鼓励牡东通讯做大做强，持续加大</w:t>
      </w:r>
      <w:r>
        <w:rPr>
          <w:rFonts w:ascii="Times New Roman" w:hAnsi="Times New Roman" w:eastAsia="仿宋_GB2312" w:cs="Times New Roman"/>
          <w:color w:val="000000" w:themeColor="text1"/>
          <w:sz w:val="32"/>
          <w:szCs w:val="32"/>
          <w14:textFill>
            <w14:solidFill>
              <w14:schemeClr w14:val="tx1"/>
            </w14:solidFill>
          </w14:textFill>
        </w:rPr>
        <w:t>5G</w:t>
      </w:r>
      <w:r>
        <w:rPr>
          <w:rFonts w:hint="eastAsia" w:ascii="方正仿宋_GBK" w:hAnsi="方正仿宋_GBK" w:eastAsia="方正仿宋_GBK" w:cs="方正仿宋_GBK"/>
          <w:color w:val="000000" w:themeColor="text1"/>
          <w:sz w:val="32"/>
          <w:szCs w:val="32"/>
          <w14:textFill>
            <w14:solidFill>
              <w14:schemeClr w14:val="tx1"/>
            </w14:solidFill>
          </w14:textFill>
        </w:rPr>
        <w:t>通讯光缆生产规模，延伸发展</w:t>
      </w:r>
      <w:r>
        <w:rPr>
          <w:rFonts w:ascii="Times New Roman" w:hAnsi="Times New Roman" w:eastAsia="仿宋_GB2312" w:cs="Times New Roman"/>
          <w:color w:val="000000" w:themeColor="text1"/>
          <w:sz w:val="32"/>
          <w:szCs w:val="32"/>
          <w14:textFill>
            <w14:solidFill>
              <w14:schemeClr w14:val="tx1"/>
            </w14:solidFill>
          </w14:textFill>
        </w:rPr>
        <w:t>5G</w:t>
      </w:r>
      <w:r>
        <w:rPr>
          <w:rFonts w:hint="eastAsia" w:ascii="方正仿宋_GBK" w:hAnsi="方正仿宋_GBK" w:eastAsia="方正仿宋_GBK" w:cs="方正仿宋_GBK"/>
          <w:color w:val="000000" w:themeColor="text1"/>
          <w:sz w:val="32"/>
          <w:szCs w:val="32"/>
          <w14:textFill>
            <w14:solidFill>
              <w14:schemeClr w14:val="tx1"/>
            </w14:solidFill>
          </w14:textFill>
        </w:rPr>
        <w:t>通讯设备关键元器件，提升对华为、中芯等企业配套能力。抢抓</w:t>
      </w:r>
      <w:r>
        <w:rPr>
          <w:rFonts w:ascii="Times New Roman" w:hAnsi="Times New Roman" w:eastAsia="仿宋_GB2312" w:cs="Times New Roman"/>
          <w:color w:val="000000" w:themeColor="text1"/>
          <w:sz w:val="32"/>
          <w:szCs w:val="32"/>
          <w14:textFill>
            <w14:solidFill>
              <w14:schemeClr w14:val="tx1"/>
            </w14:solidFill>
          </w14:textFill>
        </w:rPr>
        <w:t>5G</w:t>
      </w:r>
      <w:r>
        <w:rPr>
          <w:rFonts w:hint="eastAsia" w:ascii="方正仿宋_GBK" w:hAnsi="方正仿宋_GBK" w:eastAsia="方正仿宋_GBK" w:cs="方正仿宋_GBK"/>
          <w:color w:val="000000" w:themeColor="text1"/>
          <w:sz w:val="32"/>
          <w:szCs w:val="32"/>
          <w14:textFill>
            <w14:solidFill>
              <w14:schemeClr w14:val="tx1"/>
            </w14:solidFill>
          </w14:textFill>
        </w:rPr>
        <w:t>基站建设机遇，加大对</w:t>
      </w:r>
      <w:r>
        <w:rPr>
          <w:rFonts w:ascii="Times New Roman" w:hAnsi="Times New Roman" w:eastAsia="仿宋_GB2312" w:cs="Times New Roman"/>
          <w:color w:val="000000" w:themeColor="text1"/>
          <w:sz w:val="32"/>
          <w:szCs w:val="32"/>
          <w14:textFill>
            <w14:solidFill>
              <w14:schemeClr w14:val="tx1"/>
            </w14:solidFill>
          </w14:textFill>
        </w:rPr>
        <w:t>5G</w:t>
      </w:r>
      <w:r>
        <w:rPr>
          <w:rFonts w:hint="eastAsia" w:ascii="方正仿宋_GBK" w:hAnsi="方正仿宋_GBK" w:eastAsia="方正仿宋_GBK" w:cs="方正仿宋_GBK"/>
          <w:color w:val="000000" w:themeColor="text1"/>
          <w:sz w:val="32"/>
          <w:szCs w:val="32"/>
          <w14:textFill>
            <w14:solidFill>
              <w14:schemeClr w14:val="tx1"/>
            </w14:solidFill>
          </w14:textFill>
        </w:rPr>
        <w:t>天线、射频器件、光纤光缆、光模块等核心器件原材料和关键设备等领域企业招引力度，壮大</w:t>
      </w:r>
      <w:r>
        <w:rPr>
          <w:rFonts w:ascii="Times New Roman" w:hAnsi="Times New Roman" w:eastAsia="仿宋_GB2312" w:cs="Times New Roman"/>
          <w:color w:val="000000" w:themeColor="text1"/>
          <w:sz w:val="32"/>
          <w:szCs w:val="32"/>
          <w14:textFill>
            <w14:solidFill>
              <w14:schemeClr w14:val="tx1"/>
            </w14:solidFill>
          </w14:textFill>
        </w:rPr>
        <w:t>5G</w:t>
      </w:r>
      <w:r>
        <w:rPr>
          <w:rFonts w:hint="eastAsia" w:ascii="方正仿宋_GBK" w:hAnsi="方正仿宋_GBK" w:eastAsia="方正仿宋_GBK" w:cs="方正仿宋_GBK"/>
          <w:color w:val="000000" w:themeColor="text1"/>
          <w:sz w:val="32"/>
          <w:szCs w:val="32"/>
          <w14:textFill>
            <w14:solidFill>
              <w14:schemeClr w14:val="tx1"/>
            </w14:solidFill>
          </w14:textFill>
        </w:rPr>
        <w:t>产业规模。深入推进</w:t>
      </w:r>
      <w:r>
        <w:rPr>
          <w:rFonts w:ascii="Times New Roman" w:hAnsi="Times New Roman" w:eastAsia="仿宋_GB2312" w:cs="Times New Roman"/>
          <w:color w:val="000000" w:themeColor="text1"/>
          <w:sz w:val="32"/>
          <w:szCs w:val="32"/>
          <w14:textFill>
            <w14:solidFill>
              <w14:schemeClr w14:val="tx1"/>
            </w14:solidFill>
          </w14:textFill>
        </w:rPr>
        <w:t>5G</w:t>
      </w:r>
      <w:r>
        <w:rPr>
          <w:rFonts w:hint="eastAsia" w:ascii="方正仿宋_GBK" w:hAnsi="方正仿宋_GBK" w:eastAsia="方正仿宋_GBK" w:cs="方正仿宋_GBK"/>
          <w:color w:val="000000" w:themeColor="text1"/>
          <w:sz w:val="32"/>
          <w:szCs w:val="32"/>
          <w14:textFill>
            <w14:solidFill>
              <w14:schemeClr w14:val="tx1"/>
            </w14:solidFill>
          </w14:textFill>
        </w:rPr>
        <w:t>应用进程，搭建</w:t>
      </w:r>
      <w:r>
        <w:rPr>
          <w:rFonts w:ascii="Times New Roman" w:hAnsi="Times New Roman" w:eastAsia="仿宋_GB2312" w:cs="Times New Roman"/>
          <w:color w:val="000000" w:themeColor="text1"/>
          <w:sz w:val="32"/>
          <w:szCs w:val="32"/>
          <w14:textFill>
            <w14:solidFill>
              <w14:schemeClr w14:val="tx1"/>
            </w14:solidFill>
          </w14:textFill>
        </w:rPr>
        <w:t>5G</w:t>
      </w:r>
      <w:r>
        <w:rPr>
          <w:rFonts w:hint="eastAsia" w:ascii="方正仿宋_GBK" w:hAnsi="方正仿宋_GBK" w:eastAsia="方正仿宋_GBK" w:cs="方正仿宋_GBK"/>
          <w:color w:val="000000" w:themeColor="text1"/>
          <w:sz w:val="32"/>
          <w:szCs w:val="32"/>
          <w14:textFill>
            <w14:solidFill>
              <w14:schemeClr w14:val="tx1"/>
            </w14:solidFill>
          </w14:textFill>
        </w:rPr>
        <w:t>在教育、医疗、金融等领域应用示范场景，加快推动</w:t>
      </w:r>
      <w:r>
        <w:rPr>
          <w:rFonts w:ascii="Times New Roman" w:hAnsi="Times New Roman" w:eastAsia="仿宋_GB2312" w:cs="Times New Roman"/>
          <w:color w:val="000000" w:themeColor="text1"/>
          <w:sz w:val="32"/>
          <w:szCs w:val="32"/>
          <w14:textFill>
            <w14:solidFill>
              <w14:schemeClr w14:val="tx1"/>
            </w14:solidFill>
          </w14:textFill>
        </w:rPr>
        <w:t>5G</w:t>
      </w:r>
      <w:r>
        <w:rPr>
          <w:rFonts w:hint="eastAsia" w:ascii="方正仿宋_GBK" w:hAnsi="方正仿宋_GBK" w:eastAsia="方正仿宋_GBK" w:cs="方正仿宋_GBK"/>
          <w:color w:val="000000" w:themeColor="text1"/>
          <w:sz w:val="32"/>
          <w:szCs w:val="32"/>
          <w14:textFill>
            <w14:solidFill>
              <w14:schemeClr w14:val="tx1"/>
            </w14:solidFill>
          </w14:textFill>
        </w:rPr>
        <w:t>应用链、服务链、产业链一体化发展。</w:t>
      </w:r>
    </w:p>
    <w:tbl>
      <w:tblPr>
        <w:tblStyle w:val="14"/>
        <w:tblW w:w="889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892"/>
      </w:tblGrid>
      <w:tr w14:paraId="6BDF0D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892" w:type="dxa"/>
            <w:shd w:val="clear" w:color="auto" w:fill="auto"/>
            <w:vAlign w:val="center"/>
          </w:tcPr>
          <w:p w14:paraId="43F6BDE0">
            <w:pPr>
              <w:spacing w:line="500" w:lineRule="exact"/>
              <w:jc w:val="center"/>
              <w:rPr>
                <w:rFonts w:ascii="方正小标宋简体" w:hAnsi="Times New Roman" w:eastAsia="方正小标宋简体" w:cs="Times New Roman"/>
                <w:color w:val="000000" w:themeColor="text1"/>
                <w:sz w:val="32"/>
                <w:szCs w:val="32"/>
                <w14:textFill>
                  <w14:solidFill>
                    <w14:schemeClr w14:val="tx1"/>
                  </w14:solidFill>
                </w14:textFill>
              </w:rPr>
            </w:pPr>
            <w:r>
              <w:rPr>
                <w:rFonts w:ascii="方正小标宋简体" w:hAnsi="Times New Roman" w:eastAsia="方正小标宋简体" w:cs="Times New Roman"/>
                <w:bCs/>
                <w:color w:val="000000" w:themeColor="text1"/>
                <w:sz w:val="32"/>
                <w:szCs w:val="32"/>
                <w14:textFill>
                  <w14:solidFill>
                    <w14:schemeClr w14:val="tx1"/>
                  </w14:solidFill>
                </w14:textFill>
              </w:rPr>
              <w:t>专栏</w:t>
            </w:r>
            <w:r>
              <w:rPr>
                <w:rFonts w:ascii="Times New Roman" w:hAnsi="Times New Roman" w:eastAsia="方正小标宋简体" w:cs="Times New Roman"/>
                <w:bCs/>
                <w:color w:val="000000" w:themeColor="text1"/>
                <w:sz w:val="32"/>
                <w:szCs w:val="32"/>
                <w14:textFill>
                  <w14:solidFill>
                    <w14:schemeClr w14:val="tx1"/>
                  </w14:solidFill>
                </w14:textFill>
              </w:rPr>
              <w:t>2</w:t>
            </w:r>
            <w:r>
              <w:rPr>
                <w:rFonts w:ascii="方正小标宋简体" w:hAnsi="Times New Roman" w:eastAsia="方正小标宋简体" w:cs="Times New Roman"/>
                <w:bCs/>
                <w:color w:val="000000" w:themeColor="text1"/>
                <w:sz w:val="32"/>
                <w:szCs w:val="32"/>
                <w14:textFill>
                  <w14:solidFill>
                    <w14:schemeClr w14:val="tx1"/>
                  </w14:solidFill>
                </w14:textFill>
              </w:rPr>
              <w:t>：新一代信息技术产业项目</w:t>
            </w:r>
          </w:p>
        </w:tc>
      </w:tr>
      <w:tr w14:paraId="1D3200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8892" w:type="dxa"/>
            <w:shd w:val="clear" w:color="auto" w:fill="auto"/>
            <w:vAlign w:val="center"/>
          </w:tcPr>
          <w:p w14:paraId="67036011">
            <w:pPr>
              <w:pStyle w:val="5"/>
              <w:spacing w:line="440" w:lineRule="exact"/>
              <w:ind w:firstLine="0"/>
              <w:rPr>
                <w:rFonts w:ascii="宋体" w:hAnsi="宋体" w:eastAsia="宋体" w:cs="Times New Roman"/>
                <w:color w:val="000000" w:themeColor="text1"/>
                <w:szCs w:val="21"/>
                <w14:textFill>
                  <w14:solidFill>
                    <w14:schemeClr w14:val="tx1"/>
                  </w14:solidFill>
                </w14:textFill>
              </w:rPr>
            </w:pPr>
            <w:r>
              <w:rPr>
                <w:rFonts w:eastAsia="宋体" w:cs="Times New Roman"/>
                <w:b/>
                <w:bCs/>
                <w:color w:val="000000" w:themeColor="text1"/>
                <w:szCs w:val="21"/>
                <w14:textFill>
                  <w14:solidFill>
                    <w14:schemeClr w14:val="tx1"/>
                  </w14:solidFill>
                </w14:textFill>
              </w:rPr>
              <w:t>电</w:t>
            </w:r>
            <w:r>
              <w:rPr>
                <w:rFonts w:ascii="宋体" w:hAnsi="宋体" w:eastAsia="宋体" w:cs="Times New Roman"/>
                <w:b/>
                <w:bCs/>
                <w:color w:val="000000" w:themeColor="text1"/>
                <w:szCs w:val="21"/>
                <w14:textFill>
                  <w14:solidFill>
                    <w14:schemeClr w14:val="tx1"/>
                  </w14:solidFill>
                </w14:textFill>
              </w:rPr>
              <w:t>子元器件项目：</w:t>
            </w:r>
            <w:r>
              <w:rPr>
                <w:rFonts w:ascii="宋体" w:hAnsi="宋体" w:eastAsia="宋体" w:cs="Times New Roman"/>
                <w:color w:val="000000" w:themeColor="text1"/>
                <w:szCs w:val="21"/>
                <w14:textFill>
                  <w14:solidFill>
                    <w14:schemeClr w14:val="tx1"/>
                  </w14:solidFill>
                </w14:textFill>
              </w:rPr>
              <w:t>年产</w:t>
            </w:r>
            <w:r>
              <w:rPr>
                <w:rFonts w:eastAsia="宋体" w:cs="Times New Roman"/>
                <w:color w:val="000000" w:themeColor="text1"/>
                <w:szCs w:val="21"/>
                <w14:textFill>
                  <w14:solidFill>
                    <w14:schemeClr w14:val="tx1"/>
                  </w14:solidFill>
                </w14:textFill>
              </w:rPr>
              <w:t>1</w:t>
            </w:r>
            <w:r>
              <w:rPr>
                <w:rFonts w:ascii="宋体" w:hAnsi="宋体" w:eastAsia="宋体" w:cs="Times New Roman"/>
                <w:color w:val="000000" w:themeColor="text1"/>
                <w:szCs w:val="21"/>
                <w14:textFill>
                  <w14:solidFill>
                    <w14:schemeClr w14:val="tx1"/>
                  </w14:solidFill>
                </w14:textFill>
              </w:rPr>
              <w:t>万吨锡基、铜基电子新材料项目、年产</w:t>
            </w:r>
            <w:r>
              <w:rPr>
                <w:rFonts w:eastAsia="宋体" w:cs="Times New Roman"/>
                <w:color w:val="000000" w:themeColor="text1"/>
                <w:szCs w:val="21"/>
                <w14:textFill>
                  <w14:solidFill>
                    <w14:schemeClr w14:val="tx1"/>
                  </w14:solidFill>
                </w14:textFill>
              </w:rPr>
              <w:t>5000</w:t>
            </w:r>
            <w:r>
              <w:rPr>
                <w:rFonts w:ascii="宋体" w:hAnsi="宋体" w:eastAsia="宋体" w:cs="Times New Roman"/>
                <w:color w:val="000000" w:themeColor="text1"/>
                <w:szCs w:val="21"/>
                <w14:textFill>
                  <w14:solidFill>
                    <w14:schemeClr w14:val="tx1"/>
                  </w14:solidFill>
                </w14:textFill>
              </w:rPr>
              <w:t>万件柔性电致变色薄膜器件项目、片式多层陶瓷电容器、年产</w:t>
            </w:r>
            <w:r>
              <w:rPr>
                <w:rFonts w:eastAsia="宋体" w:cs="Times New Roman"/>
                <w:color w:val="000000" w:themeColor="text1"/>
                <w:szCs w:val="21"/>
                <w14:textFill>
                  <w14:solidFill>
                    <w14:schemeClr w14:val="tx1"/>
                  </w14:solidFill>
                </w14:textFill>
              </w:rPr>
              <w:t>300</w:t>
            </w:r>
            <w:r>
              <w:rPr>
                <w:rFonts w:ascii="宋体" w:hAnsi="宋体" w:eastAsia="宋体" w:cs="Times New Roman"/>
                <w:color w:val="000000" w:themeColor="text1"/>
                <w:szCs w:val="21"/>
                <w14:textFill>
                  <w14:solidFill>
                    <w14:schemeClr w14:val="tx1"/>
                  </w14:solidFill>
                </w14:textFill>
              </w:rPr>
              <w:t>万只大功率脉冲塑封激光器项目</w:t>
            </w:r>
            <w:r>
              <w:rPr>
                <w:rFonts w:hint="eastAsia" w:ascii="宋体" w:hAnsi="宋体" w:eastAsia="宋体" w:cs="Times New Roman"/>
                <w:color w:val="000000" w:themeColor="text1"/>
                <w:szCs w:val="21"/>
                <w14:textFill>
                  <w14:solidFill>
                    <w14:schemeClr w14:val="tx1"/>
                  </w14:solidFill>
                </w14:textFill>
              </w:rPr>
              <w:t>。</w:t>
            </w:r>
          </w:p>
          <w:p w14:paraId="078951B5">
            <w:pPr>
              <w:pStyle w:val="5"/>
              <w:spacing w:line="440" w:lineRule="exact"/>
              <w:ind w:firstLine="0"/>
              <w:rPr>
                <w:rFonts w:ascii="宋体" w:hAnsi="宋体" w:eastAsia="宋体" w:cs="Times New Roman"/>
                <w:color w:val="000000" w:themeColor="text1"/>
                <w:szCs w:val="21"/>
                <w14:textFill>
                  <w14:solidFill>
                    <w14:schemeClr w14:val="tx1"/>
                  </w14:solidFill>
                </w14:textFill>
              </w:rPr>
            </w:pPr>
            <w:r>
              <w:rPr>
                <w:rFonts w:ascii="宋体" w:hAnsi="宋体" w:eastAsia="宋体" w:cs="Times New Roman"/>
                <w:b/>
                <w:color w:val="000000" w:themeColor="text1"/>
                <w:szCs w:val="28"/>
                <w14:textFill>
                  <w14:solidFill>
                    <w14:schemeClr w14:val="tx1"/>
                  </w14:solidFill>
                </w14:textFill>
              </w:rPr>
              <w:t>半导体项目：</w:t>
            </w:r>
            <w:r>
              <w:rPr>
                <w:rFonts w:ascii="宋体" w:hAnsi="宋体" w:eastAsia="宋体" w:cs="Times New Roman"/>
                <w:color w:val="000000" w:themeColor="text1"/>
                <w:szCs w:val="21"/>
                <w14:textFill>
                  <w14:solidFill>
                    <w14:schemeClr w14:val="tx1"/>
                  </w14:solidFill>
                </w14:textFill>
              </w:rPr>
              <w:t>陶瓷熔射及研发中心项目、陶瓷熔射及研发中心扩建项目、年产</w:t>
            </w:r>
            <w:r>
              <w:rPr>
                <w:rFonts w:eastAsia="宋体" w:cs="Times New Roman"/>
                <w:color w:val="000000" w:themeColor="text1"/>
                <w:szCs w:val="21"/>
                <w14:textFill>
                  <w14:solidFill>
                    <w14:schemeClr w14:val="tx1"/>
                  </w14:solidFill>
                </w14:textFill>
              </w:rPr>
              <w:t>180</w:t>
            </w:r>
            <w:r>
              <w:rPr>
                <w:rFonts w:ascii="宋体" w:hAnsi="宋体" w:eastAsia="宋体" w:cs="Times New Roman"/>
                <w:color w:val="000000" w:themeColor="text1"/>
                <w:szCs w:val="21"/>
                <w14:textFill>
                  <w14:solidFill>
                    <w14:schemeClr w14:val="tx1"/>
                  </w14:solidFill>
                </w14:textFill>
              </w:rPr>
              <w:t>万枚半导体晶圆再生项目、富乐德洗净事业总部项目、长江半导体增值服务产业园项目、柔性线路板、柔性模组贴装项目、高精度线路板移植及手机产品封测产业链、半导体</w:t>
            </w:r>
            <w:r>
              <w:rPr>
                <w:rFonts w:hint="eastAsia" w:ascii="宋体" w:hAnsi="宋体" w:eastAsia="宋体" w:cs="Times New Roman"/>
                <w:color w:val="000000" w:themeColor="text1"/>
                <w:szCs w:val="21"/>
                <w14:textFill>
                  <w14:solidFill>
                    <w14:schemeClr w14:val="tx1"/>
                  </w14:solidFill>
                </w14:textFill>
              </w:rPr>
              <w:t>钯</w:t>
            </w:r>
            <w:r>
              <w:rPr>
                <w:rFonts w:ascii="宋体" w:hAnsi="宋体" w:eastAsia="宋体" w:cs="Times New Roman"/>
                <w:color w:val="000000" w:themeColor="text1"/>
                <w:szCs w:val="21"/>
                <w14:textFill>
                  <w14:solidFill>
                    <w14:schemeClr w14:val="tx1"/>
                  </w14:solidFill>
                </w14:textFill>
              </w:rPr>
              <w:t>射材料生产项目、长江半导体产业园项目</w:t>
            </w:r>
            <w:r>
              <w:rPr>
                <w:rFonts w:hint="eastAsia" w:ascii="宋体" w:hAnsi="宋体" w:eastAsia="宋体" w:cs="Times New Roman"/>
                <w:color w:val="000000" w:themeColor="text1"/>
                <w:szCs w:val="21"/>
                <w14:textFill>
                  <w14:solidFill>
                    <w14:schemeClr w14:val="tx1"/>
                  </w14:solidFill>
                </w14:textFill>
              </w:rPr>
              <w:t>。</w:t>
            </w:r>
          </w:p>
          <w:p w14:paraId="3A1044F3">
            <w:pPr>
              <w:pStyle w:val="5"/>
              <w:spacing w:line="440" w:lineRule="exact"/>
              <w:ind w:firstLine="0"/>
              <w:rPr>
                <w:rFonts w:eastAsia="仿宋_GB2312" w:cs="Times New Roman"/>
                <w:color w:val="000000" w:themeColor="text1"/>
                <w:szCs w:val="21"/>
                <w14:textFill>
                  <w14:solidFill>
                    <w14:schemeClr w14:val="tx1"/>
                  </w14:solidFill>
                </w14:textFill>
              </w:rPr>
            </w:pPr>
            <w:r>
              <w:rPr>
                <w:rFonts w:eastAsia="宋体" w:cs="Times New Roman"/>
                <w:b/>
                <w:bCs/>
                <w:color w:val="000000" w:themeColor="text1"/>
                <w:szCs w:val="21"/>
                <w14:textFill>
                  <w14:solidFill>
                    <w14:schemeClr w14:val="tx1"/>
                  </w14:solidFill>
                </w14:textFill>
              </w:rPr>
              <w:t>5G</w:t>
            </w:r>
            <w:r>
              <w:rPr>
                <w:rFonts w:ascii="宋体" w:hAnsi="宋体" w:eastAsia="宋体" w:cs="Times New Roman"/>
                <w:b/>
                <w:bCs/>
                <w:color w:val="000000" w:themeColor="text1"/>
                <w:szCs w:val="21"/>
                <w14:textFill>
                  <w14:solidFill>
                    <w14:schemeClr w14:val="tx1"/>
                  </w14:solidFill>
                </w14:textFill>
              </w:rPr>
              <w:t>项目</w:t>
            </w:r>
            <w:r>
              <w:rPr>
                <w:rFonts w:ascii="宋体" w:hAnsi="宋体" w:eastAsia="宋体" w:cs="Times New Roman"/>
                <w:color w:val="000000" w:themeColor="text1"/>
                <w:szCs w:val="21"/>
                <w14:textFill>
                  <w14:solidFill>
                    <w14:schemeClr w14:val="tx1"/>
                  </w14:solidFill>
                </w14:textFill>
              </w:rPr>
              <w:t>：</w:t>
            </w:r>
            <w:r>
              <w:rPr>
                <w:rFonts w:eastAsia="宋体" w:cs="Times New Roman"/>
                <w:color w:val="000000" w:themeColor="text1"/>
                <w:szCs w:val="21"/>
                <w14:textFill>
                  <w14:solidFill>
                    <w14:schemeClr w14:val="tx1"/>
                  </w14:solidFill>
                </w14:textFill>
              </w:rPr>
              <w:t>5G</w:t>
            </w:r>
            <w:r>
              <w:rPr>
                <w:rFonts w:ascii="宋体" w:hAnsi="宋体" w:eastAsia="宋体" w:cs="Times New Roman"/>
                <w:color w:val="000000" w:themeColor="text1"/>
                <w:szCs w:val="21"/>
                <w14:textFill>
                  <w14:solidFill>
                    <w14:schemeClr w14:val="tx1"/>
                  </w14:solidFill>
                </w14:textFill>
              </w:rPr>
              <w:t>通讯芯片光电产业园项目、</w:t>
            </w:r>
            <w:r>
              <w:rPr>
                <w:rFonts w:eastAsia="宋体" w:cs="Times New Roman"/>
                <w:color w:val="000000" w:themeColor="text1"/>
                <w:szCs w:val="21"/>
                <w14:textFill>
                  <w14:solidFill>
                    <w14:schemeClr w14:val="tx1"/>
                  </w14:solidFill>
                </w14:textFill>
              </w:rPr>
              <w:t>5G</w:t>
            </w:r>
            <w:r>
              <w:rPr>
                <w:rFonts w:ascii="宋体" w:hAnsi="宋体" w:eastAsia="宋体" w:cs="Times New Roman"/>
                <w:color w:val="000000" w:themeColor="text1"/>
                <w:szCs w:val="21"/>
                <w14:textFill>
                  <w14:solidFill>
                    <w14:schemeClr w14:val="tx1"/>
                  </w14:solidFill>
                </w14:textFill>
              </w:rPr>
              <w:t>通讯光器件生产线项目</w:t>
            </w:r>
            <w:r>
              <w:rPr>
                <w:rFonts w:hint="eastAsia" w:ascii="宋体" w:hAnsi="宋体" w:eastAsia="宋体" w:cs="Times New Roman"/>
                <w:color w:val="000000" w:themeColor="text1"/>
                <w:szCs w:val="21"/>
                <w14:textFill>
                  <w14:solidFill>
                    <w14:schemeClr w14:val="tx1"/>
                  </w14:solidFill>
                </w14:textFill>
              </w:rPr>
              <w:t>。</w:t>
            </w:r>
          </w:p>
        </w:tc>
      </w:tr>
    </w:tbl>
    <w:p w14:paraId="2F155187">
      <w:pPr>
        <w:spacing w:line="620" w:lineRule="exact"/>
        <w:jc w:val="center"/>
        <w:rPr>
          <w:rFonts w:ascii="方正小标宋简体" w:hAnsi="Times New Roman" w:eastAsia="方正小标宋简体" w:cs="Times New Roman"/>
          <w:bCs/>
          <w:color w:val="000000" w:themeColor="text1"/>
          <w:sz w:val="32"/>
          <w:szCs w:val="32"/>
          <w14:textFill>
            <w14:solidFill>
              <w14:schemeClr w14:val="tx1"/>
            </w14:solidFill>
          </w14:textFill>
        </w:rPr>
      </w:pPr>
      <w:bookmarkStart w:id="46" w:name="_Toc76137879"/>
      <w:bookmarkStart w:id="47" w:name="_Toc76137908"/>
      <w:r>
        <w:rPr>
          <w:rFonts w:ascii="方正小标宋简体" w:hAnsi="Times New Roman" w:eastAsia="方正小标宋简体" w:cs="Times New Roman"/>
          <w:bCs/>
          <w:color w:val="000000" w:themeColor="text1"/>
          <w:sz w:val="32"/>
          <w:szCs w:val="32"/>
          <w14:textFill>
            <w14:solidFill>
              <w14:schemeClr w14:val="tx1"/>
            </w14:solidFill>
          </w14:textFill>
        </w:rPr>
        <w:t>表</w:t>
      </w:r>
      <w:r>
        <w:rPr>
          <w:rFonts w:ascii="Times New Roman" w:hAnsi="Times New Roman" w:eastAsia="方正小标宋简体" w:cs="Times New Roman"/>
          <w:bCs/>
          <w:color w:val="000000" w:themeColor="text1"/>
          <w:sz w:val="32"/>
          <w:szCs w:val="32"/>
          <w14:textFill>
            <w14:solidFill>
              <w14:schemeClr w14:val="tx1"/>
            </w14:solidFill>
          </w14:textFill>
        </w:rPr>
        <w:t>2</w:t>
      </w:r>
      <w:r>
        <w:rPr>
          <w:rFonts w:ascii="方正小标宋简体" w:hAnsi="Times New Roman" w:eastAsia="方正小标宋简体" w:cs="Times New Roman"/>
          <w:bCs/>
          <w:color w:val="000000" w:themeColor="text1"/>
          <w:sz w:val="32"/>
          <w:szCs w:val="32"/>
          <w14:textFill>
            <w14:solidFill>
              <w14:schemeClr w14:val="tx1"/>
            </w14:solidFill>
          </w14:textFill>
        </w:rPr>
        <w:t xml:space="preserve"> 新一代信息技术产业链招商目标企业库</w:t>
      </w:r>
    </w:p>
    <w:tbl>
      <w:tblPr>
        <w:tblStyle w:val="14"/>
        <w:tblW w:w="884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5270"/>
        <w:gridCol w:w="1883"/>
      </w:tblGrid>
      <w:tr w14:paraId="2A7335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shd w:val="clear" w:color="auto" w:fill="auto"/>
            <w:vAlign w:val="center"/>
          </w:tcPr>
          <w:p w14:paraId="5FE57C1C">
            <w:pPr>
              <w:snapToGrid w:val="0"/>
              <w:jc w:val="center"/>
              <w:rPr>
                <w:rFonts w:ascii="Times New Roman" w:hAnsi="Times New Roman" w:eastAsia="黑体" w:cs="Times New Roman"/>
                <w:bCs/>
                <w:color w:val="000000" w:themeColor="text1"/>
                <w:sz w:val="24"/>
                <w:szCs w:val="24"/>
                <w14:textFill>
                  <w14:solidFill>
                    <w14:schemeClr w14:val="tx1"/>
                  </w14:solidFill>
                </w14:textFill>
              </w:rPr>
            </w:pPr>
            <w:r>
              <w:rPr>
                <w:rFonts w:ascii="Times New Roman" w:hAnsi="Times New Roman" w:eastAsia="黑体" w:cs="Times New Roman"/>
                <w:bCs/>
                <w:color w:val="000000" w:themeColor="text1"/>
                <w:sz w:val="24"/>
                <w:szCs w:val="24"/>
                <w14:textFill>
                  <w14:solidFill>
                    <w14:schemeClr w14:val="tx1"/>
                  </w14:solidFill>
                </w14:textFill>
              </w:rPr>
              <w:t>企业名称</w:t>
            </w:r>
          </w:p>
        </w:tc>
        <w:tc>
          <w:tcPr>
            <w:tcW w:w="5270" w:type="dxa"/>
            <w:shd w:val="clear" w:color="auto" w:fill="auto"/>
            <w:vAlign w:val="center"/>
          </w:tcPr>
          <w:p w14:paraId="01D736BC">
            <w:pPr>
              <w:snapToGrid w:val="0"/>
              <w:jc w:val="center"/>
              <w:rPr>
                <w:rFonts w:ascii="Times New Roman" w:hAnsi="Times New Roman" w:eastAsia="黑体" w:cs="Times New Roman"/>
                <w:bCs/>
                <w:color w:val="000000" w:themeColor="text1"/>
                <w:sz w:val="24"/>
                <w:szCs w:val="24"/>
                <w14:textFill>
                  <w14:solidFill>
                    <w14:schemeClr w14:val="tx1"/>
                  </w14:solidFill>
                </w14:textFill>
              </w:rPr>
            </w:pPr>
            <w:r>
              <w:rPr>
                <w:rFonts w:ascii="Times New Roman" w:hAnsi="Times New Roman" w:eastAsia="黑体" w:cs="Times New Roman"/>
                <w:bCs/>
                <w:color w:val="000000" w:themeColor="text1"/>
                <w:sz w:val="24"/>
                <w:szCs w:val="24"/>
                <w14:textFill>
                  <w14:solidFill>
                    <w14:schemeClr w14:val="tx1"/>
                  </w14:solidFill>
                </w14:textFill>
              </w:rPr>
              <w:t>主营业务范围</w:t>
            </w:r>
          </w:p>
        </w:tc>
        <w:tc>
          <w:tcPr>
            <w:tcW w:w="1883" w:type="dxa"/>
            <w:shd w:val="clear" w:color="auto" w:fill="auto"/>
            <w:vAlign w:val="center"/>
          </w:tcPr>
          <w:p w14:paraId="245F73AE">
            <w:pPr>
              <w:snapToGrid w:val="0"/>
              <w:jc w:val="center"/>
              <w:rPr>
                <w:rFonts w:ascii="Times New Roman" w:hAnsi="Times New Roman" w:eastAsia="黑体" w:cs="Times New Roman"/>
                <w:bCs/>
                <w:color w:val="000000" w:themeColor="text1"/>
                <w:sz w:val="24"/>
                <w:szCs w:val="24"/>
                <w14:textFill>
                  <w14:solidFill>
                    <w14:schemeClr w14:val="tx1"/>
                  </w14:solidFill>
                </w14:textFill>
              </w:rPr>
            </w:pPr>
            <w:r>
              <w:rPr>
                <w:rFonts w:ascii="Times New Roman" w:hAnsi="Times New Roman" w:eastAsia="黑体" w:cs="Times New Roman"/>
                <w:bCs/>
                <w:color w:val="000000" w:themeColor="text1"/>
                <w:sz w:val="24"/>
                <w:szCs w:val="24"/>
                <w14:textFill>
                  <w14:solidFill>
                    <w14:schemeClr w14:val="tx1"/>
                  </w14:solidFill>
                </w14:textFill>
              </w:rPr>
              <w:t>引进方向</w:t>
            </w:r>
          </w:p>
          <w:p w14:paraId="385B87BD">
            <w:pPr>
              <w:snapToGrid w:val="0"/>
              <w:rPr>
                <w:rFonts w:ascii="Times New Roman" w:hAnsi="Times New Roman" w:eastAsia="黑体" w:cs="Times New Roman"/>
                <w:bCs/>
                <w:color w:val="000000" w:themeColor="text1"/>
                <w:spacing w:val="-12"/>
                <w:sz w:val="24"/>
                <w:szCs w:val="24"/>
                <w14:textFill>
                  <w14:solidFill>
                    <w14:schemeClr w14:val="tx1"/>
                  </w14:solidFill>
                </w14:textFill>
              </w:rPr>
            </w:pPr>
            <w:r>
              <w:rPr>
                <w:rFonts w:ascii="Times New Roman" w:hAnsi="Times New Roman" w:eastAsia="黑体" w:cs="Times New Roman"/>
                <w:bCs/>
                <w:color w:val="000000" w:themeColor="text1"/>
                <w:spacing w:val="-12"/>
                <w:sz w:val="24"/>
                <w:szCs w:val="24"/>
                <w14:textFill>
                  <w14:solidFill>
                    <w14:schemeClr w14:val="tx1"/>
                  </w14:solidFill>
                </w14:textFill>
              </w:rPr>
              <w:t>（强链延链补链）</w:t>
            </w:r>
          </w:p>
        </w:tc>
      </w:tr>
      <w:tr w14:paraId="0EA5BE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shd w:val="clear" w:color="auto" w:fill="auto"/>
            <w:vAlign w:val="center"/>
          </w:tcPr>
          <w:p w14:paraId="20D495CC">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江苏亨通光电股份有限公司</w:t>
            </w:r>
          </w:p>
        </w:tc>
        <w:tc>
          <w:tcPr>
            <w:tcW w:w="5270" w:type="dxa"/>
            <w:shd w:val="clear" w:color="auto" w:fill="auto"/>
            <w:vAlign w:val="center"/>
          </w:tcPr>
          <w:p w14:paraId="168383BC">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光纤光缆、电力电缆、特种通信线缆、</w:t>
            </w:r>
            <w:r>
              <w:rPr>
                <w:rFonts w:ascii="宋体" w:hAnsi="宋体" w:eastAsia="宋体" w:cs="Times New Roman"/>
                <w:color w:val="000000" w:themeColor="text1"/>
                <w:sz w:val="24"/>
                <w:szCs w:val="24"/>
                <w14:textFill>
                  <w14:solidFill>
                    <w14:schemeClr w14:val="tx1"/>
                  </w14:solidFill>
                </w14:textFill>
              </w:rPr>
              <w:fldChar w:fldCharType="begin"/>
            </w:r>
            <w:r>
              <w:rPr>
                <w:rFonts w:ascii="宋体" w:hAnsi="宋体" w:eastAsia="宋体" w:cs="Times New Roman"/>
                <w:color w:val="000000" w:themeColor="text1"/>
                <w:sz w:val="24"/>
                <w:szCs w:val="24"/>
                <w14:textFill>
                  <w14:solidFill>
                    <w14:schemeClr w14:val="tx1"/>
                  </w14:solidFill>
                </w14:textFill>
              </w:rPr>
              <w:instrText xml:space="preserve"> HYPERLINK "https://baike.baidu.com/item/%E5%85%89%E7%BA%A4%E9%A2%84%E5%88%B6%E6%A3%92/10771000" \t "https://baike.baidu.com/item/%E4%BA%A8%E9%80%9A%E5%85%89%E7%94%B5/_blank" </w:instrText>
            </w:r>
            <w:r>
              <w:rPr>
                <w:rFonts w:ascii="宋体" w:hAnsi="宋体" w:eastAsia="宋体" w:cs="Times New Roman"/>
                <w:color w:val="000000" w:themeColor="text1"/>
                <w:sz w:val="24"/>
                <w:szCs w:val="24"/>
                <w14:textFill>
                  <w14:solidFill>
                    <w14:schemeClr w14:val="tx1"/>
                  </w14:solidFill>
                </w14:textFill>
              </w:rPr>
              <w:fldChar w:fldCharType="separate"/>
            </w:r>
            <w:r>
              <w:rPr>
                <w:rStyle w:val="17"/>
                <w:rFonts w:ascii="宋体" w:hAnsi="宋体" w:eastAsia="宋体" w:cs="Times New Roman"/>
                <w:color w:val="000000" w:themeColor="text1"/>
                <w:sz w:val="24"/>
                <w:szCs w:val="24"/>
                <w:u w:val="none"/>
                <w14:textFill>
                  <w14:solidFill>
                    <w14:schemeClr w14:val="tx1"/>
                  </w14:solidFill>
                </w14:textFill>
              </w:rPr>
              <w:t>光纤预制棒</w:t>
            </w:r>
            <w:r>
              <w:rPr>
                <w:rFonts w:ascii="宋体" w:hAnsi="宋体" w:eastAsia="宋体" w:cs="Times New Roman"/>
                <w:color w:val="000000" w:themeColor="text1"/>
                <w:sz w:val="24"/>
                <w:szCs w:val="24"/>
                <w14:textFill>
                  <w14:solidFill>
                    <w14:schemeClr w14:val="tx1"/>
                  </w14:solidFill>
                </w14:textFill>
              </w:rPr>
              <w:fldChar w:fldCharType="end"/>
            </w:r>
            <w:r>
              <w:rPr>
                <w:rFonts w:ascii="宋体" w:hAnsi="宋体" w:eastAsia="宋体" w:cs="Times New Roman"/>
                <w:color w:val="000000" w:themeColor="text1"/>
                <w:sz w:val="24"/>
                <w:szCs w:val="24"/>
                <w14:textFill>
                  <w14:solidFill>
                    <w14:schemeClr w14:val="tx1"/>
                  </w14:solidFill>
                </w14:textFill>
              </w:rPr>
              <w:t>、光纤拉丝、电源材料及附件、</w:t>
            </w:r>
            <w:r>
              <w:fldChar w:fldCharType="begin"/>
            </w:r>
            <w:r>
              <w:instrText xml:space="preserve"> HYPERLINK "https://baike.baidu.com/item/%E7%94%B5%E5%AD%90%E5%85%83%E5%99%A8%E4%BB%B6" \t "https://baike.baidu.com/item/%E4%BA%A8%E9%80%9A%E5%85%89%E7%94%B5/_blank" </w:instrText>
            </w:r>
            <w:r>
              <w:fldChar w:fldCharType="separate"/>
            </w:r>
            <w:r>
              <w:rPr>
                <w:rStyle w:val="17"/>
                <w:rFonts w:ascii="宋体" w:hAnsi="宋体" w:eastAsia="宋体" w:cs="Times New Roman"/>
                <w:color w:val="000000" w:themeColor="text1"/>
                <w:sz w:val="24"/>
                <w:szCs w:val="24"/>
                <w:u w:val="none"/>
                <w14:textFill>
                  <w14:solidFill>
                    <w14:schemeClr w14:val="tx1"/>
                  </w14:solidFill>
                </w14:textFill>
              </w:rPr>
              <w:t>电子元器件</w:t>
            </w:r>
            <w:r>
              <w:rPr>
                <w:rStyle w:val="17"/>
                <w:rFonts w:ascii="宋体" w:hAnsi="宋体" w:eastAsia="宋体" w:cs="Times New Roman"/>
                <w:color w:val="000000" w:themeColor="text1"/>
                <w:sz w:val="24"/>
                <w:szCs w:val="24"/>
                <w:u w:val="none"/>
                <w14:textFill>
                  <w14:solidFill>
                    <w14:schemeClr w14:val="tx1"/>
                  </w14:solidFill>
                </w14:textFill>
              </w:rPr>
              <w:fldChar w:fldCharType="end"/>
            </w:r>
            <w:r>
              <w:rPr>
                <w:rFonts w:ascii="宋体" w:hAnsi="宋体" w:eastAsia="宋体" w:cs="Times New Roman"/>
                <w:color w:val="000000" w:themeColor="text1"/>
                <w:sz w:val="24"/>
                <w:szCs w:val="24"/>
                <w14:textFill>
                  <w14:solidFill>
                    <w14:schemeClr w14:val="tx1"/>
                  </w14:solidFill>
                </w14:textFill>
              </w:rPr>
              <w:t>、通信设备的制造</w:t>
            </w:r>
          </w:p>
        </w:tc>
        <w:tc>
          <w:tcPr>
            <w:tcW w:w="1883" w:type="dxa"/>
            <w:shd w:val="clear" w:color="auto" w:fill="auto"/>
            <w:vAlign w:val="center"/>
          </w:tcPr>
          <w:p w14:paraId="4E6187DB">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延链：</w:t>
            </w:r>
            <w:r>
              <w:rPr>
                <w:rFonts w:ascii="宋体" w:hAnsi="宋体" w:eastAsia="宋体" w:cs="Times New Roman"/>
                <w:color w:val="000000" w:themeColor="text1"/>
                <w:sz w:val="24"/>
                <w:szCs w:val="24"/>
                <w14:textFill>
                  <w14:solidFill>
                    <w14:schemeClr w14:val="tx1"/>
                  </w14:solidFill>
                </w14:textFill>
              </w:rPr>
              <w:fldChar w:fldCharType="begin"/>
            </w:r>
            <w:r>
              <w:rPr>
                <w:rFonts w:ascii="宋体" w:hAnsi="宋体" w:eastAsia="宋体" w:cs="Times New Roman"/>
                <w:color w:val="000000" w:themeColor="text1"/>
                <w:sz w:val="24"/>
                <w:szCs w:val="24"/>
                <w14:textFill>
                  <w14:solidFill>
                    <w14:schemeClr w14:val="tx1"/>
                  </w14:solidFill>
                </w14:textFill>
              </w:rPr>
              <w:instrText xml:space="preserve"> HYPERLINK "https://baike.baidu.com/item/%E5%85%89%E7%BA%A4%E9%A2%84%E5%88%B6%E6%A3%92/10771000" \t "https://baike.baidu.com/item/%E4%BA%A8%E9%80%9A%E5%85%89%E7%94%B5/_blank" </w:instrText>
            </w:r>
            <w:r>
              <w:rPr>
                <w:rFonts w:ascii="宋体" w:hAnsi="宋体" w:eastAsia="宋体" w:cs="Times New Roman"/>
                <w:color w:val="000000" w:themeColor="text1"/>
                <w:sz w:val="24"/>
                <w:szCs w:val="24"/>
                <w14:textFill>
                  <w14:solidFill>
                    <w14:schemeClr w14:val="tx1"/>
                  </w14:solidFill>
                </w14:textFill>
              </w:rPr>
              <w:fldChar w:fldCharType="separate"/>
            </w:r>
            <w:r>
              <w:rPr>
                <w:rStyle w:val="17"/>
                <w:rFonts w:ascii="宋体" w:hAnsi="宋体" w:eastAsia="宋体" w:cs="Times New Roman"/>
                <w:color w:val="000000" w:themeColor="text1"/>
                <w:sz w:val="24"/>
                <w:szCs w:val="24"/>
                <w:u w:val="none"/>
                <w14:textFill>
                  <w14:solidFill>
                    <w14:schemeClr w14:val="tx1"/>
                  </w14:solidFill>
                </w14:textFill>
              </w:rPr>
              <w:t>光纤预制棒</w:t>
            </w:r>
            <w:r>
              <w:rPr>
                <w:rFonts w:ascii="宋体" w:hAnsi="宋体" w:eastAsia="宋体" w:cs="Times New Roman"/>
                <w:color w:val="000000" w:themeColor="text1"/>
                <w:sz w:val="24"/>
                <w:szCs w:val="24"/>
                <w14:textFill>
                  <w14:solidFill>
                    <w14:schemeClr w14:val="tx1"/>
                  </w14:solidFill>
                </w14:textFill>
              </w:rPr>
              <w:fldChar w:fldCharType="end"/>
            </w:r>
            <w:r>
              <w:rPr>
                <w:rFonts w:ascii="宋体" w:hAnsi="宋体" w:eastAsia="宋体" w:cs="Times New Roman"/>
                <w:color w:val="000000" w:themeColor="text1"/>
                <w:sz w:val="24"/>
                <w:szCs w:val="24"/>
                <w14:textFill>
                  <w14:solidFill>
                    <w14:schemeClr w14:val="tx1"/>
                  </w14:solidFill>
                </w14:textFill>
              </w:rPr>
              <w:t>、光纤拉丝</w:t>
            </w:r>
          </w:p>
        </w:tc>
      </w:tr>
      <w:tr w14:paraId="7C77E8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696" w:type="dxa"/>
            <w:shd w:val="clear" w:color="auto" w:fill="auto"/>
            <w:vAlign w:val="center"/>
          </w:tcPr>
          <w:p w14:paraId="077B4B69">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长飞光纤光缆股份有限公司</w:t>
            </w:r>
          </w:p>
        </w:tc>
        <w:tc>
          <w:tcPr>
            <w:tcW w:w="5270" w:type="dxa"/>
            <w:shd w:val="clear" w:color="auto" w:fill="auto"/>
            <w:vAlign w:val="center"/>
          </w:tcPr>
          <w:p w14:paraId="2008ABB3">
            <w:pPr>
              <w:snapToGrid w:val="0"/>
              <w:jc w:val="left"/>
              <w:rPr>
                <w:rFonts w:ascii="宋体" w:hAnsi="宋体" w:eastAsia="宋体" w:cs="Times New Roman"/>
                <w:color w:val="000000" w:themeColor="text1"/>
                <w:spacing w:val="-8"/>
                <w:sz w:val="24"/>
                <w:szCs w:val="24"/>
                <w14:textFill>
                  <w14:solidFill>
                    <w14:schemeClr w14:val="tx1"/>
                  </w14:solidFill>
                </w14:textFill>
              </w:rPr>
            </w:pPr>
            <w:r>
              <w:rPr>
                <w:rFonts w:ascii="宋体" w:hAnsi="宋体" w:eastAsia="宋体" w:cs="Times New Roman"/>
                <w:color w:val="000000" w:themeColor="text1"/>
                <w:spacing w:val="-8"/>
                <w:sz w:val="24"/>
                <w:szCs w:val="24"/>
                <w14:textFill>
                  <w14:solidFill>
                    <w14:schemeClr w14:val="tx1"/>
                  </w14:solidFill>
                </w14:textFill>
              </w:rPr>
              <w:t>预制棒、光纤、光缆、通信线缆、特种线缆及器件</w:t>
            </w:r>
          </w:p>
        </w:tc>
        <w:tc>
          <w:tcPr>
            <w:tcW w:w="1883" w:type="dxa"/>
            <w:shd w:val="clear" w:color="auto" w:fill="auto"/>
            <w:vAlign w:val="center"/>
          </w:tcPr>
          <w:p w14:paraId="07AFC07B">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延链：预制棒、光纤</w:t>
            </w:r>
          </w:p>
        </w:tc>
      </w:tr>
      <w:tr w14:paraId="754569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shd w:val="clear" w:color="auto" w:fill="auto"/>
            <w:vAlign w:val="center"/>
          </w:tcPr>
          <w:p w14:paraId="1F31A4CD">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江苏中天科技股份有限公司</w:t>
            </w:r>
          </w:p>
        </w:tc>
        <w:tc>
          <w:tcPr>
            <w:tcW w:w="5270" w:type="dxa"/>
            <w:shd w:val="clear" w:color="auto" w:fill="auto"/>
            <w:vAlign w:val="center"/>
          </w:tcPr>
          <w:p w14:paraId="4E8C0831">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光棒、光纤、特种光缆</w:t>
            </w:r>
          </w:p>
        </w:tc>
        <w:tc>
          <w:tcPr>
            <w:tcW w:w="1883" w:type="dxa"/>
            <w:shd w:val="clear" w:color="auto" w:fill="auto"/>
            <w:vAlign w:val="center"/>
          </w:tcPr>
          <w:p w14:paraId="6D2310B9">
            <w:pPr>
              <w:snapToGrid w:val="0"/>
              <w:jc w:val="left"/>
              <w:rPr>
                <w:rFonts w:ascii="宋体" w:hAnsi="宋体" w:eastAsia="宋体" w:cs="Times New Roman"/>
                <w:color w:val="000000" w:themeColor="text1"/>
                <w:spacing w:val="-10"/>
                <w:sz w:val="24"/>
                <w:szCs w:val="24"/>
                <w14:textFill>
                  <w14:solidFill>
                    <w14:schemeClr w14:val="tx1"/>
                  </w14:solidFill>
                </w14:textFill>
              </w:rPr>
            </w:pPr>
            <w:r>
              <w:rPr>
                <w:rFonts w:ascii="宋体" w:hAnsi="宋体" w:eastAsia="宋体" w:cs="Times New Roman"/>
                <w:color w:val="000000" w:themeColor="text1"/>
                <w:spacing w:val="-10"/>
                <w:sz w:val="24"/>
                <w:szCs w:val="24"/>
                <w14:textFill>
                  <w14:solidFill>
                    <w14:schemeClr w14:val="tx1"/>
                  </w14:solidFill>
                </w14:textFill>
              </w:rPr>
              <w:t>延链：光棒、光纤</w:t>
            </w:r>
          </w:p>
        </w:tc>
      </w:tr>
      <w:tr w14:paraId="0930D9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1696" w:type="dxa"/>
            <w:shd w:val="clear" w:color="auto" w:fill="auto"/>
            <w:vAlign w:val="center"/>
          </w:tcPr>
          <w:p w14:paraId="02F289BB">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江苏长电科技股份有限公司</w:t>
            </w:r>
          </w:p>
        </w:tc>
        <w:tc>
          <w:tcPr>
            <w:tcW w:w="5270" w:type="dxa"/>
            <w:shd w:val="clear" w:color="auto" w:fill="auto"/>
            <w:vAlign w:val="center"/>
          </w:tcPr>
          <w:p w14:paraId="2D9A739F">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研制、开发、生产、销售半导体、电子原件、专用电子电气装置，半导体封测</w:t>
            </w:r>
          </w:p>
        </w:tc>
        <w:tc>
          <w:tcPr>
            <w:tcW w:w="1883" w:type="dxa"/>
            <w:shd w:val="clear" w:color="auto" w:fill="auto"/>
            <w:vAlign w:val="center"/>
          </w:tcPr>
          <w:p w14:paraId="19526672">
            <w:pPr>
              <w:snapToGrid w:val="0"/>
              <w:jc w:val="left"/>
              <w:rPr>
                <w:rFonts w:ascii="宋体" w:hAnsi="宋体" w:eastAsia="宋体" w:cs="Times New Roman"/>
                <w:color w:val="000000" w:themeColor="text1"/>
                <w:spacing w:val="-12"/>
                <w:sz w:val="24"/>
                <w:szCs w:val="24"/>
                <w14:textFill>
                  <w14:solidFill>
                    <w14:schemeClr w14:val="tx1"/>
                  </w14:solidFill>
                </w14:textFill>
              </w:rPr>
            </w:pPr>
            <w:r>
              <w:rPr>
                <w:rFonts w:ascii="宋体" w:hAnsi="宋体" w:eastAsia="宋体" w:cs="Times New Roman"/>
                <w:color w:val="000000" w:themeColor="text1"/>
                <w:spacing w:val="-12"/>
                <w:sz w:val="24"/>
                <w:szCs w:val="24"/>
                <w14:textFill>
                  <w14:solidFill>
                    <w14:schemeClr w14:val="tx1"/>
                  </w14:solidFill>
                </w14:textFill>
              </w:rPr>
              <w:t>延链：半导体封测</w:t>
            </w:r>
          </w:p>
        </w:tc>
      </w:tr>
      <w:tr w14:paraId="3661E0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shd w:val="clear" w:color="auto" w:fill="auto"/>
            <w:vAlign w:val="center"/>
          </w:tcPr>
          <w:p w14:paraId="0E793F1A">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有研新材料</w:t>
            </w:r>
          </w:p>
          <w:p w14:paraId="320416C0">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股份有限公司</w:t>
            </w:r>
          </w:p>
        </w:tc>
        <w:tc>
          <w:tcPr>
            <w:tcW w:w="5270" w:type="dxa"/>
            <w:shd w:val="clear" w:color="auto" w:fill="auto"/>
            <w:vAlign w:val="center"/>
          </w:tcPr>
          <w:p w14:paraId="61E998B8">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稀土、贵金属、有色金属及其合金、锗和化合物单晶及其衍生产品、以及半导体材料、稀土材料、稀有材料、贵金属材料、光电材料的研究、开发、生产、销售</w:t>
            </w:r>
          </w:p>
        </w:tc>
        <w:tc>
          <w:tcPr>
            <w:tcW w:w="1883" w:type="dxa"/>
            <w:shd w:val="clear" w:color="auto" w:fill="auto"/>
            <w:vAlign w:val="center"/>
          </w:tcPr>
          <w:p w14:paraId="5994A3EF">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pacing w:val="-12"/>
                <w:sz w:val="24"/>
                <w:szCs w:val="24"/>
                <w14:textFill>
                  <w14:solidFill>
                    <w14:schemeClr w14:val="tx1"/>
                  </w14:solidFill>
                </w14:textFill>
              </w:rPr>
              <w:t>延链：半导体材料</w:t>
            </w:r>
          </w:p>
        </w:tc>
      </w:tr>
      <w:tr w14:paraId="7EDC51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shd w:val="clear" w:color="auto" w:fill="auto"/>
            <w:vAlign w:val="center"/>
          </w:tcPr>
          <w:p w14:paraId="63EFEA5E">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南亚电子材料（昆山）有限公司</w:t>
            </w:r>
          </w:p>
        </w:tc>
        <w:tc>
          <w:tcPr>
            <w:tcW w:w="5270" w:type="dxa"/>
            <w:shd w:val="clear" w:color="auto" w:fill="auto"/>
            <w:vAlign w:val="center"/>
          </w:tcPr>
          <w:p w14:paraId="05FF08FF">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生产开发铜箔基板、玻璃纤维布含浸基材（高强度玻璃纤维制品）、高性能特殊电解铜箔及电子级高强度玻璃纤维布等新兴产业新材料、电子用高科技环氧树脂等精细化工制品、危险化学品环氧树脂</w:t>
            </w:r>
          </w:p>
        </w:tc>
        <w:tc>
          <w:tcPr>
            <w:tcW w:w="1883" w:type="dxa"/>
            <w:shd w:val="clear" w:color="auto" w:fill="auto"/>
            <w:vAlign w:val="center"/>
          </w:tcPr>
          <w:p w14:paraId="2408C0E2">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pacing w:val="-12"/>
                <w:sz w:val="24"/>
                <w:szCs w:val="24"/>
                <w14:textFill>
                  <w14:solidFill>
                    <w14:schemeClr w14:val="tx1"/>
                  </w14:solidFill>
                </w14:textFill>
              </w:rPr>
              <w:t>强链：电子元器件</w:t>
            </w:r>
          </w:p>
        </w:tc>
      </w:tr>
      <w:tr w14:paraId="42F013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696" w:type="dxa"/>
            <w:shd w:val="clear" w:color="auto" w:fill="auto"/>
            <w:vAlign w:val="center"/>
          </w:tcPr>
          <w:p w14:paraId="6540CBCA">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中兴通讯股份有限公司</w:t>
            </w:r>
          </w:p>
        </w:tc>
        <w:tc>
          <w:tcPr>
            <w:tcW w:w="5270" w:type="dxa"/>
            <w:shd w:val="clear" w:color="auto" w:fill="auto"/>
            <w:vAlign w:val="center"/>
          </w:tcPr>
          <w:p w14:paraId="01D6EF9C">
            <w:pPr>
              <w:snapToGrid w:val="0"/>
              <w:jc w:val="left"/>
              <w:rPr>
                <w:rFonts w:ascii="宋体" w:hAnsi="宋体"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2G</w:t>
            </w:r>
            <w:r>
              <w:rPr>
                <w:rFonts w:ascii="宋体" w:hAnsi="宋体" w:eastAsia="宋体" w:cs="Times New Roman"/>
                <w:color w:val="000000" w:themeColor="text1"/>
                <w:sz w:val="24"/>
                <w:szCs w:val="24"/>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3G</w:t>
            </w:r>
            <w:r>
              <w:rPr>
                <w:rFonts w:ascii="宋体" w:hAnsi="宋体" w:eastAsia="宋体" w:cs="Times New Roman"/>
                <w:color w:val="000000" w:themeColor="text1"/>
                <w:sz w:val="24"/>
                <w:szCs w:val="24"/>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4G</w:t>
            </w:r>
            <w:r>
              <w:rPr>
                <w:rFonts w:ascii="宋体" w:hAnsi="宋体" w:eastAsia="宋体" w:cs="Times New Roman"/>
                <w:color w:val="000000" w:themeColor="text1"/>
                <w:sz w:val="24"/>
                <w:szCs w:val="24"/>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5G</w:t>
            </w:r>
            <w:r>
              <w:rPr>
                <w:rFonts w:ascii="宋体" w:hAnsi="宋体" w:eastAsia="宋体" w:cs="Times New Roman"/>
                <w:color w:val="000000" w:themeColor="text1"/>
                <w:sz w:val="24"/>
                <w:szCs w:val="24"/>
                <w14:textFill>
                  <w14:solidFill>
                    <w14:schemeClr w14:val="tx1"/>
                  </w14:solidFill>
                </w14:textFill>
              </w:rPr>
              <w:t>无线基站与核心网、</w:t>
            </w:r>
            <w:r>
              <w:rPr>
                <w:rFonts w:ascii="Times New Roman" w:hAnsi="Times New Roman" w:eastAsia="宋体" w:cs="Times New Roman"/>
                <w:color w:val="000000" w:themeColor="text1"/>
                <w:sz w:val="24"/>
                <w:szCs w:val="24"/>
                <w14:textFill>
                  <w14:solidFill>
                    <w14:schemeClr w14:val="tx1"/>
                  </w14:solidFill>
                </w14:textFill>
              </w:rPr>
              <w:t>IMS</w:t>
            </w:r>
            <w:r>
              <w:rPr>
                <w:rFonts w:ascii="宋体" w:hAnsi="宋体" w:eastAsia="宋体" w:cs="Times New Roman"/>
                <w:color w:val="000000" w:themeColor="text1"/>
                <w:sz w:val="24"/>
                <w:szCs w:val="24"/>
                <w14:textFill>
                  <w14:solidFill>
                    <w14:schemeClr w14:val="tx1"/>
                  </w14:solidFill>
                </w14:textFill>
              </w:rPr>
              <w:t>、固网接入与承载、</w:t>
            </w:r>
            <w:r>
              <w:rPr>
                <w:rFonts w:ascii="宋体" w:hAnsi="宋体" w:eastAsia="宋体" w:cs="Times New Roman"/>
                <w:color w:val="000000" w:themeColor="text1"/>
                <w:sz w:val="24"/>
                <w:szCs w:val="24"/>
                <w14:textFill>
                  <w14:solidFill>
                    <w14:schemeClr w14:val="tx1"/>
                  </w14:solidFill>
                </w14:textFill>
              </w:rPr>
              <w:fldChar w:fldCharType="begin"/>
            </w:r>
            <w:r>
              <w:rPr>
                <w:rFonts w:ascii="宋体" w:hAnsi="宋体" w:eastAsia="宋体" w:cs="Times New Roman"/>
                <w:color w:val="000000" w:themeColor="text1"/>
                <w:sz w:val="24"/>
                <w:szCs w:val="24"/>
                <w14:textFill>
                  <w14:solidFill>
                    <w14:schemeClr w14:val="tx1"/>
                  </w14:solidFill>
                </w14:textFill>
              </w:rPr>
              <w:instrText xml:space="preserve"> HYPERLINK "https://baike.baidu.com/item/%E5%85%89%E7%BD%91%E7%BB%9C/6219507" \t "https://baike.baidu.com/item/%E4%B8%AD%E5%85%B4%E9%80%9A%E8%AE%AF%E8%82%A1%E4%BB%BD%E6%9C%89%E9%99%90%E5%85%AC%E5%8F%B8/_blank" </w:instrText>
            </w:r>
            <w:r>
              <w:rPr>
                <w:rFonts w:ascii="宋体" w:hAnsi="宋体" w:eastAsia="宋体" w:cs="Times New Roman"/>
                <w:color w:val="000000" w:themeColor="text1"/>
                <w:sz w:val="24"/>
                <w:szCs w:val="24"/>
                <w14:textFill>
                  <w14:solidFill>
                    <w14:schemeClr w14:val="tx1"/>
                  </w14:solidFill>
                </w14:textFill>
              </w:rPr>
              <w:fldChar w:fldCharType="separate"/>
            </w:r>
            <w:r>
              <w:rPr>
                <w:rFonts w:ascii="宋体" w:hAnsi="宋体" w:eastAsia="宋体" w:cs="Times New Roman"/>
                <w:color w:val="000000" w:themeColor="text1"/>
                <w:sz w:val="24"/>
                <w:szCs w:val="24"/>
                <w14:textFill>
                  <w14:solidFill>
                    <w14:schemeClr w14:val="tx1"/>
                  </w14:solidFill>
                </w14:textFill>
              </w:rPr>
              <w:t>光网络</w:t>
            </w:r>
            <w:r>
              <w:rPr>
                <w:rFonts w:ascii="宋体" w:hAnsi="宋体" w:eastAsia="宋体" w:cs="Times New Roman"/>
                <w:color w:val="000000" w:themeColor="text1"/>
                <w:sz w:val="24"/>
                <w:szCs w:val="24"/>
                <w14:textFill>
                  <w14:solidFill>
                    <w14:schemeClr w14:val="tx1"/>
                  </w14:solidFill>
                </w14:textFill>
              </w:rPr>
              <w:fldChar w:fldCharType="end"/>
            </w:r>
            <w:r>
              <w:rPr>
                <w:rFonts w:ascii="宋体" w:hAnsi="宋体" w:eastAsia="宋体" w:cs="Times New Roman"/>
                <w:color w:val="000000" w:themeColor="text1"/>
                <w:sz w:val="24"/>
                <w:szCs w:val="24"/>
                <w14:textFill>
                  <w14:solidFill>
                    <w14:schemeClr w14:val="tx1"/>
                  </w14:solidFill>
                </w14:textFill>
              </w:rPr>
              <w:t>、</w:t>
            </w:r>
            <w:r>
              <w:fldChar w:fldCharType="begin"/>
            </w:r>
            <w:r>
              <w:instrText xml:space="preserve"> HYPERLINK "https://baike.baidu.com/item/%E8%8A%AF%E7%89%87/32249" \t "https://baike.baidu.com/item/%E4%B8%AD%E5%85%B4%E9%80%9A%E8%AE%AF%E8%82%A1%E4%BB%BD%E6%9C%89%E9%99%90%E5%85%AC%E5%8F%B8/_blank" </w:instrText>
            </w:r>
            <w:r>
              <w:fldChar w:fldCharType="separate"/>
            </w:r>
            <w:r>
              <w:rPr>
                <w:rFonts w:ascii="宋体" w:hAnsi="宋体" w:eastAsia="宋体" w:cs="Times New Roman"/>
                <w:color w:val="000000" w:themeColor="text1"/>
                <w:sz w:val="24"/>
                <w:szCs w:val="24"/>
                <w14:textFill>
                  <w14:solidFill>
                    <w14:schemeClr w14:val="tx1"/>
                  </w14:solidFill>
                </w14:textFill>
              </w:rPr>
              <w:t>芯片</w:t>
            </w:r>
            <w:r>
              <w:rPr>
                <w:rFonts w:ascii="宋体" w:hAnsi="宋体" w:eastAsia="宋体" w:cs="Times New Roman"/>
                <w:color w:val="000000" w:themeColor="text1"/>
                <w:sz w:val="24"/>
                <w:szCs w:val="24"/>
                <w14:textFill>
                  <w14:solidFill>
                    <w14:schemeClr w14:val="tx1"/>
                  </w14:solidFill>
                </w14:textFill>
              </w:rPr>
              <w:fldChar w:fldCharType="end"/>
            </w:r>
            <w:r>
              <w:rPr>
                <w:rFonts w:ascii="宋体" w:hAnsi="宋体" w:eastAsia="宋体" w:cs="Times New Roman"/>
                <w:color w:val="000000" w:themeColor="text1"/>
                <w:sz w:val="24"/>
                <w:szCs w:val="24"/>
                <w14:textFill>
                  <w14:solidFill>
                    <w14:schemeClr w14:val="tx1"/>
                  </w14:solidFill>
                </w14:textFill>
              </w:rPr>
              <w:t>、</w:t>
            </w:r>
            <w:r>
              <w:fldChar w:fldCharType="begin"/>
            </w:r>
            <w:r>
              <w:instrText xml:space="preserve"> HYPERLINK "https://baike.baidu.com/item/%E9%AB%98%E7%AB%AF%E8%B7%AF%E7%94%B1%E5%99%A8/6620986" \t "https://baike.baidu.com/item/%E4%B8%AD%E5%85%B4%E9%80%9A%E8%AE%AF%E8%82%A1%E4%BB%BD%E6%9C%89%E9%99%90%E5%85%AC%E5%8F%B8/_blank" </w:instrText>
            </w:r>
            <w:r>
              <w:fldChar w:fldCharType="separate"/>
            </w:r>
            <w:r>
              <w:rPr>
                <w:rFonts w:ascii="宋体" w:hAnsi="宋体" w:eastAsia="宋体" w:cs="Times New Roman"/>
                <w:color w:val="000000" w:themeColor="text1"/>
                <w:sz w:val="24"/>
                <w:szCs w:val="24"/>
                <w14:textFill>
                  <w14:solidFill>
                    <w14:schemeClr w14:val="tx1"/>
                  </w14:solidFill>
                </w14:textFill>
              </w:rPr>
              <w:t>高端路由器</w:t>
            </w:r>
            <w:r>
              <w:rPr>
                <w:rFonts w:ascii="宋体" w:hAnsi="宋体" w:eastAsia="宋体" w:cs="Times New Roman"/>
                <w:color w:val="000000" w:themeColor="text1"/>
                <w:sz w:val="24"/>
                <w:szCs w:val="24"/>
                <w14:textFill>
                  <w14:solidFill>
                    <w14:schemeClr w14:val="tx1"/>
                  </w14:solidFill>
                </w14:textFill>
              </w:rPr>
              <w:fldChar w:fldCharType="end"/>
            </w:r>
            <w:r>
              <w:rPr>
                <w:rFonts w:ascii="宋体" w:hAnsi="宋体" w:eastAsia="宋体" w:cs="Times New Roman"/>
                <w:color w:val="000000" w:themeColor="text1"/>
                <w:sz w:val="24"/>
                <w:szCs w:val="24"/>
                <w14:textFill>
                  <w14:solidFill>
                    <w14:schemeClr w14:val="tx1"/>
                  </w14:solidFill>
                </w14:textFill>
              </w:rPr>
              <w:t>、</w:t>
            </w:r>
            <w:r>
              <w:fldChar w:fldCharType="begin"/>
            </w:r>
            <w:r>
              <w:instrText xml:space="preserve"> HYPERLINK "https://baike.baidu.com/item/%E6%99%BA%E8%83%BD%E4%BA%A4%E6%8D%A2%E6%9C%BA/742295" \t "https://baike.baidu.com/item/%E4%B8%AD%E5%85%B4%E9%80%9A%E8%AE%AF%E8%82%A1%E4%BB%BD%E6%9C%89%E9%99%90%E5%85%AC%E5%8F%B8/_blank" </w:instrText>
            </w:r>
            <w:r>
              <w:fldChar w:fldCharType="separate"/>
            </w:r>
            <w:r>
              <w:rPr>
                <w:rFonts w:ascii="宋体" w:hAnsi="宋体" w:eastAsia="宋体" w:cs="Times New Roman"/>
                <w:color w:val="000000" w:themeColor="text1"/>
                <w:sz w:val="24"/>
                <w:szCs w:val="24"/>
                <w14:textFill>
                  <w14:solidFill>
                    <w14:schemeClr w14:val="tx1"/>
                  </w14:solidFill>
                </w14:textFill>
              </w:rPr>
              <w:t>智能交换机</w:t>
            </w:r>
            <w:r>
              <w:rPr>
                <w:rFonts w:ascii="宋体" w:hAnsi="宋体" w:eastAsia="宋体" w:cs="Times New Roman"/>
                <w:color w:val="000000" w:themeColor="text1"/>
                <w:sz w:val="24"/>
                <w:szCs w:val="24"/>
                <w14:textFill>
                  <w14:solidFill>
                    <w14:schemeClr w14:val="tx1"/>
                  </w14:solidFill>
                </w14:textFill>
              </w:rPr>
              <w:fldChar w:fldCharType="end"/>
            </w:r>
            <w:r>
              <w:rPr>
                <w:rFonts w:ascii="宋体" w:hAnsi="宋体" w:eastAsia="宋体" w:cs="Times New Roman"/>
                <w:color w:val="000000" w:themeColor="text1"/>
                <w:sz w:val="24"/>
                <w:szCs w:val="24"/>
                <w14:textFill>
                  <w14:solidFill>
                    <w14:schemeClr w14:val="tx1"/>
                  </w14:solidFill>
                </w14:textFill>
              </w:rPr>
              <w:t>、数据中心、</w:t>
            </w:r>
            <w:r>
              <w:fldChar w:fldCharType="begin"/>
            </w:r>
            <w:r>
              <w:instrText xml:space="preserve"> HYPERLINK "https://baike.baidu.com/item/ICT/32270" \t "https://baike.baidu.com/item/%E4%B8%AD%E5%85%B4%E9%80%9A%E8%AE%AF%E8%82%A1%E4%BB%BD%E6%9C%89%E9%99%90%E5%85%AC%E5%8F%B8/_blank" </w:instrText>
            </w:r>
            <w:r>
              <w:fldChar w:fldCharType="separate"/>
            </w:r>
            <w:r>
              <w:rPr>
                <w:rFonts w:ascii="Times New Roman" w:hAnsi="Times New Roman" w:eastAsia="宋体" w:cs="Times New Roman"/>
                <w:color w:val="000000" w:themeColor="text1"/>
                <w:sz w:val="24"/>
                <w:szCs w:val="24"/>
                <w14:textFill>
                  <w14:solidFill>
                    <w14:schemeClr w14:val="tx1"/>
                  </w14:solidFill>
                </w14:textFill>
              </w:rPr>
              <w:t>ICT</w:t>
            </w:r>
            <w:r>
              <w:rPr>
                <w:rFonts w:ascii="Times New Roman" w:hAnsi="Times New Roman" w:eastAsia="宋体" w:cs="Times New Roman"/>
                <w:color w:val="000000" w:themeColor="text1"/>
                <w:sz w:val="24"/>
                <w:szCs w:val="24"/>
                <w14:textFill>
                  <w14:solidFill>
                    <w14:schemeClr w14:val="tx1"/>
                  </w14:solidFill>
                </w14:textFill>
              </w:rPr>
              <w:fldChar w:fldCharType="end"/>
            </w:r>
            <w:r>
              <w:rPr>
                <w:rFonts w:ascii="宋体" w:hAnsi="宋体" w:eastAsia="宋体" w:cs="Times New Roman"/>
                <w:color w:val="000000" w:themeColor="text1"/>
                <w:sz w:val="24"/>
                <w:szCs w:val="24"/>
                <w14:textFill>
                  <w14:solidFill>
                    <w14:schemeClr w14:val="tx1"/>
                  </w14:solidFill>
                </w14:textFill>
              </w:rPr>
              <w:t>业务，以及航空、铁路与城市轨道交通信号传输设备</w:t>
            </w:r>
          </w:p>
        </w:tc>
        <w:tc>
          <w:tcPr>
            <w:tcW w:w="1883" w:type="dxa"/>
            <w:shd w:val="clear" w:color="auto" w:fill="auto"/>
            <w:vAlign w:val="center"/>
          </w:tcPr>
          <w:p w14:paraId="2DB2E460">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强链：通讯设备</w:t>
            </w:r>
          </w:p>
        </w:tc>
      </w:tr>
      <w:tr w14:paraId="4D4C5D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1696" w:type="dxa"/>
            <w:shd w:val="clear" w:color="auto" w:fill="auto"/>
            <w:vAlign w:val="center"/>
          </w:tcPr>
          <w:p w14:paraId="0F1FE0C3">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烽火通信科技股份有限公司</w:t>
            </w:r>
          </w:p>
        </w:tc>
        <w:tc>
          <w:tcPr>
            <w:tcW w:w="5270" w:type="dxa"/>
            <w:shd w:val="clear" w:color="auto" w:fill="auto"/>
            <w:vAlign w:val="center"/>
          </w:tcPr>
          <w:p w14:paraId="54FE5023">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通信系统设备、光纤及线缆、数据网络等产品的生产销售</w:t>
            </w:r>
          </w:p>
        </w:tc>
        <w:tc>
          <w:tcPr>
            <w:tcW w:w="1883" w:type="dxa"/>
            <w:shd w:val="clear" w:color="auto" w:fill="auto"/>
            <w:vAlign w:val="center"/>
          </w:tcPr>
          <w:p w14:paraId="3B552A81">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强链：通讯设备</w:t>
            </w:r>
          </w:p>
        </w:tc>
      </w:tr>
      <w:tr w14:paraId="4DE194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shd w:val="clear" w:color="auto" w:fill="auto"/>
            <w:vAlign w:val="center"/>
          </w:tcPr>
          <w:p w14:paraId="05BAFB87">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江苏永鼎股份有限公司</w:t>
            </w:r>
          </w:p>
        </w:tc>
        <w:tc>
          <w:tcPr>
            <w:tcW w:w="5270" w:type="dxa"/>
            <w:shd w:val="clear" w:color="auto" w:fill="auto"/>
            <w:vAlign w:val="center"/>
          </w:tcPr>
          <w:p w14:paraId="71501BA5">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通信光缆、通信电缆、特种光缆、软光缆、电力光缆、数据电缆、光器件</w:t>
            </w:r>
          </w:p>
        </w:tc>
        <w:tc>
          <w:tcPr>
            <w:tcW w:w="1883" w:type="dxa"/>
            <w:shd w:val="clear" w:color="auto" w:fill="auto"/>
            <w:vAlign w:val="center"/>
          </w:tcPr>
          <w:p w14:paraId="29416C39">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强链：通信光缆、特种光缆、软光缆</w:t>
            </w:r>
          </w:p>
        </w:tc>
      </w:tr>
      <w:tr w14:paraId="28550D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shd w:val="clear" w:color="auto" w:fill="auto"/>
            <w:vAlign w:val="center"/>
          </w:tcPr>
          <w:p w14:paraId="61FBC1FF">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昆山冠言金属材料有限公司</w:t>
            </w:r>
          </w:p>
        </w:tc>
        <w:tc>
          <w:tcPr>
            <w:tcW w:w="5270" w:type="dxa"/>
            <w:shd w:val="clear" w:color="auto" w:fill="auto"/>
            <w:vAlign w:val="center"/>
          </w:tcPr>
          <w:p w14:paraId="124E4CF3">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铜箔、铝箔、导电布、导电胶、泡棉、屏蔽材料、绝缘材料、金属材料</w:t>
            </w:r>
          </w:p>
        </w:tc>
        <w:tc>
          <w:tcPr>
            <w:tcW w:w="1883" w:type="dxa"/>
            <w:shd w:val="clear" w:color="auto" w:fill="auto"/>
            <w:vAlign w:val="center"/>
          </w:tcPr>
          <w:p w14:paraId="60EABCAC">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补链：铜箔、铝箔、金属材料</w:t>
            </w:r>
          </w:p>
        </w:tc>
      </w:tr>
      <w:tr w14:paraId="40D5DA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shd w:val="clear" w:color="auto" w:fill="auto"/>
            <w:vAlign w:val="center"/>
          </w:tcPr>
          <w:p w14:paraId="61FD0425">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灵宝华鑫铜箔有限责任公司</w:t>
            </w:r>
          </w:p>
        </w:tc>
        <w:tc>
          <w:tcPr>
            <w:tcW w:w="5270" w:type="dxa"/>
            <w:shd w:val="clear" w:color="auto" w:fill="auto"/>
            <w:vAlign w:val="center"/>
          </w:tcPr>
          <w:p w14:paraId="4294DC47">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加工、生产、销售锂电池铜箔、电子电路铜箔</w:t>
            </w:r>
          </w:p>
        </w:tc>
        <w:tc>
          <w:tcPr>
            <w:tcW w:w="1883" w:type="dxa"/>
            <w:shd w:val="clear" w:color="auto" w:fill="auto"/>
            <w:vAlign w:val="center"/>
          </w:tcPr>
          <w:p w14:paraId="63D36BA7">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补链：电子电路铜箔</w:t>
            </w:r>
          </w:p>
        </w:tc>
      </w:tr>
      <w:tr w14:paraId="1A8CC6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shd w:val="clear" w:color="auto" w:fill="auto"/>
            <w:vAlign w:val="center"/>
          </w:tcPr>
          <w:p w14:paraId="671A421D">
            <w:pPr>
              <w:snapToGrid w:val="0"/>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山东金宝电子股份有限公司</w:t>
            </w:r>
          </w:p>
        </w:tc>
        <w:tc>
          <w:tcPr>
            <w:tcW w:w="5270" w:type="dxa"/>
            <w:shd w:val="clear" w:color="auto" w:fill="auto"/>
            <w:vAlign w:val="center"/>
          </w:tcPr>
          <w:p w14:paraId="7567513C">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电力电子元器件制造；电子元器件零售；专用化学产品销售（不含危险化学品）；机械零件、零部件销售；仪器仪表销售；环境保护专用设备制造；专用设备制造</w:t>
            </w:r>
          </w:p>
        </w:tc>
        <w:tc>
          <w:tcPr>
            <w:tcW w:w="1883" w:type="dxa"/>
            <w:shd w:val="clear" w:color="auto" w:fill="auto"/>
            <w:vAlign w:val="center"/>
          </w:tcPr>
          <w:p w14:paraId="17A470EC">
            <w:pPr>
              <w:snapToGrid w:val="0"/>
              <w:jc w:val="left"/>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补链：电子铜箔、覆铜板</w:t>
            </w:r>
          </w:p>
        </w:tc>
      </w:tr>
      <w:tr w14:paraId="63691F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shd w:val="clear" w:color="auto" w:fill="auto"/>
            <w:vAlign w:val="center"/>
          </w:tcPr>
          <w:p w14:paraId="541922E7">
            <w:pPr>
              <w:snapToGrid w:val="0"/>
              <w:jc w:val="center"/>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中贸区块链（深圳）有限公司</w:t>
            </w:r>
          </w:p>
        </w:tc>
        <w:tc>
          <w:tcPr>
            <w:tcW w:w="5270" w:type="dxa"/>
            <w:shd w:val="clear" w:color="auto" w:fill="auto"/>
            <w:vAlign w:val="center"/>
          </w:tcPr>
          <w:p w14:paraId="635CD20E">
            <w:pPr>
              <w:snapToGrid w:val="0"/>
              <w:jc w:val="left"/>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移动通讯产品方案个性化定制、软件设计制造、</w:t>
            </w:r>
            <w:r>
              <w:rPr>
                <w:rFonts w:hint="eastAsia" w:ascii="Times New Roman" w:hAnsi="Times New Roman" w:eastAsia="宋体" w:cs="Times New Roman"/>
                <w:color w:val="000000" w:themeColor="text1"/>
                <w:sz w:val="24"/>
                <w:szCs w:val="24"/>
                <w14:textFill>
                  <w14:solidFill>
                    <w14:schemeClr w14:val="tx1"/>
                  </w14:solidFill>
                </w14:textFill>
              </w:rPr>
              <w:t>S</w:t>
            </w:r>
            <w:r>
              <w:rPr>
                <w:rFonts w:ascii="Times New Roman" w:hAnsi="Times New Roman" w:eastAsia="宋体" w:cs="Times New Roman"/>
                <w:color w:val="000000" w:themeColor="text1"/>
                <w:sz w:val="24"/>
                <w:szCs w:val="24"/>
                <w14:textFill>
                  <w14:solidFill>
                    <w14:schemeClr w14:val="tx1"/>
                  </w14:solidFill>
                </w14:textFill>
              </w:rPr>
              <w:t>MT</w:t>
            </w:r>
            <w:r>
              <w:rPr>
                <w:rFonts w:hint="eastAsia" w:ascii="宋体" w:hAnsi="宋体" w:eastAsia="宋体" w:cs="Times New Roman"/>
                <w:color w:val="000000" w:themeColor="text1"/>
                <w:sz w:val="24"/>
                <w:szCs w:val="24"/>
                <w14:textFill>
                  <w14:solidFill>
                    <w14:schemeClr w14:val="tx1"/>
                  </w14:solidFill>
                </w14:textFill>
              </w:rPr>
              <w:t>贴片生产及芯片开发生产等。</w:t>
            </w:r>
          </w:p>
        </w:tc>
        <w:tc>
          <w:tcPr>
            <w:tcW w:w="1883" w:type="dxa"/>
            <w:shd w:val="clear" w:color="auto" w:fill="auto"/>
            <w:vAlign w:val="center"/>
          </w:tcPr>
          <w:p w14:paraId="7AF350A1">
            <w:pPr>
              <w:snapToGrid w:val="0"/>
              <w:jc w:val="left"/>
              <w:rPr>
                <w:rFonts w:ascii="宋体" w:hAnsi="宋体"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S</w:t>
            </w:r>
            <w:r>
              <w:rPr>
                <w:rFonts w:ascii="Times New Roman" w:hAnsi="Times New Roman" w:eastAsia="宋体" w:cs="Times New Roman"/>
                <w:color w:val="000000" w:themeColor="text1"/>
                <w:sz w:val="24"/>
                <w:szCs w:val="24"/>
                <w14:textFill>
                  <w14:solidFill>
                    <w14:schemeClr w14:val="tx1"/>
                  </w14:solidFill>
                </w14:textFill>
              </w:rPr>
              <w:t>MT</w:t>
            </w:r>
            <w:r>
              <w:rPr>
                <w:rFonts w:hint="eastAsia" w:ascii="宋体" w:hAnsi="宋体" w:eastAsia="宋体" w:cs="Times New Roman"/>
                <w:color w:val="000000" w:themeColor="text1"/>
                <w:sz w:val="24"/>
                <w:szCs w:val="24"/>
                <w14:textFill>
                  <w14:solidFill>
                    <w14:schemeClr w14:val="tx1"/>
                  </w14:solidFill>
                </w14:textFill>
              </w:rPr>
              <w:t>贴片及</w:t>
            </w:r>
            <w:r>
              <w:rPr>
                <w:rFonts w:hint="eastAsia" w:ascii="Times New Roman" w:hAnsi="Times New Roman" w:eastAsia="宋体" w:cs="Times New Roman"/>
                <w:color w:val="000000" w:themeColor="text1"/>
                <w:sz w:val="24"/>
                <w:szCs w:val="24"/>
                <w14:textFill>
                  <w14:solidFill>
                    <w14:schemeClr w14:val="tx1"/>
                  </w14:solidFill>
                </w14:textFill>
              </w:rPr>
              <w:t>5</w:t>
            </w:r>
            <w:r>
              <w:rPr>
                <w:rFonts w:ascii="Times New Roman" w:hAnsi="Times New Roman" w:eastAsia="宋体" w:cs="Times New Roman"/>
                <w:color w:val="000000" w:themeColor="text1"/>
                <w:sz w:val="24"/>
                <w:szCs w:val="24"/>
                <w14:textFill>
                  <w14:solidFill>
                    <w14:schemeClr w14:val="tx1"/>
                  </w14:solidFill>
                </w14:textFill>
              </w:rPr>
              <w:t>G</w:t>
            </w:r>
            <w:r>
              <w:rPr>
                <w:rFonts w:hint="eastAsia" w:ascii="宋体" w:hAnsi="宋体" w:eastAsia="宋体" w:cs="Times New Roman"/>
                <w:color w:val="000000" w:themeColor="text1"/>
                <w:sz w:val="24"/>
                <w:szCs w:val="24"/>
                <w14:textFill>
                  <w14:solidFill>
                    <w14:schemeClr w14:val="tx1"/>
                  </w14:solidFill>
                </w14:textFill>
              </w:rPr>
              <w:t>配件生产</w:t>
            </w:r>
          </w:p>
        </w:tc>
      </w:tr>
    </w:tbl>
    <w:p w14:paraId="25ABFCFB">
      <w:pPr>
        <w:pStyle w:val="4"/>
        <w:pageBreakBefore w:val="0"/>
        <w:widowControl w:val="0"/>
        <w:kinsoku/>
        <w:wordWrap/>
        <w:overflowPunct/>
        <w:topLinePunct w:val="0"/>
        <w:autoSpaceDE/>
        <w:autoSpaceDN/>
        <w:bidi w:val="0"/>
        <w:adjustRightInd/>
        <w:snapToGrid/>
        <w:spacing w:before="0" w:after="0" w:line="590" w:lineRule="exact"/>
        <w:ind w:firstLine="640" w:firstLineChars="200"/>
        <w:textAlignment w:val="auto"/>
        <w:rPr>
          <w:rFonts w:hint="eastAsia" w:ascii="方正黑体_GBK" w:hAnsi="方正黑体_GBK" w:eastAsia="方正黑体_GBK" w:cs="方正黑体_GBK"/>
          <w:b w:val="0"/>
          <w:color w:val="000000" w:themeColor="text1"/>
          <w14:textFill>
            <w14:solidFill>
              <w14:schemeClr w14:val="tx1"/>
            </w14:solidFill>
          </w14:textFill>
        </w:rPr>
      </w:pPr>
      <w:r>
        <w:rPr>
          <w:rFonts w:hint="eastAsia" w:ascii="方正黑体_GBK" w:hAnsi="方正黑体_GBK" w:eastAsia="方正黑体_GBK" w:cs="方正黑体_GBK"/>
          <w:b w:val="0"/>
          <w:color w:val="000000" w:themeColor="text1"/>
          <w14:textFill>
            <w14:solidFill>
              <w14:schemeClr w14:val="tx1"/>
            </w14:solidFill>
          </w14:textFill>
        </w:rPr>
        <w:t>二、高端装备制造</w:t>
      </w:r>
      <w:bookmarkEnd w:id="46"/>
      <w:bookmarkEnd w:id="47"/>
    </w:p>
    <w:p w14:paraId="5214E666">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（一）发展思路和目标</w:t>
      </w:r>
    </w:p>
    <w:p w14:paraId="06D7C042">
      <w:pPr>
        <w:pageBreakBefore w:val="0"/>
        <w:widowControl w:val="0"/>
        <w:kinsoku/>
        <w:wordWrap/>
        <w:overflowPunct/>
        <w:topLinePunct w:val="0"/>
        <w:autoSpaceDE/>
        <w:autoSpaceDN/>
        <w:bidi w:val="0"/>
        <w:adjustRightInd/>
        <w:snapToGrid/>
        <w:spacing w:line="59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立足现有产业基础，以智能化、规模化、集聚化为发展目标，发展壮大轨道交通、智能装备关键零部件及成套设备，打造“智造义安”，力争</w:t>
      </w:r>
      <w:r>
        <w:rPr>
          <w:rFonts w:ascii="Times New Roman" w:hAnsi="Times New Roman" w:eastAsia="仿宋_GB2312" w:cs="Times New Roman"/>
          <w:color w:val="000000" w:themeColor="text1"/>
          <w:sz w:val="32"/>
          <w:szCs w:val="32"/>
          <w14:textFill>
            <w14:solidFill>
              <w14:schemeClr w14:val="tx1"/>
            </w14:solidFill>
          </w14:textFill>
        </w:rPr>
        <w:t>2025</w:t>
      </w:r>
      <w:r>
        <w:rPr>
          <w:rFonts w:hint="eastAsia" w:ascii="方正仿宋_GBK" w:hAnsi="方正仿宋_GBK" w:eastAsia="方正仿宋_GBK" w:cs="方正仿宋_GBK"/>
          <w:color w:val="000000" w:themeColor="text1"/>
          <w:sz w:val="32"/>
          <w:szCs w:val="32"/>
          <w14:textFill>
            <w14:solidFill>
              <w14:schemeClr w14:val="tx1"/>
            </w14:solidFill>
          </w14:textFill>
        </w:rPr>
        <w:t>年，高端装备制造产值突破</w:t>
      </w:r>
      <w:r>
        <w:rPr>
          <w:rFonts w:ascii="Times New Roman" w:hAnsi="Times New Roman" w:eastAsia="仿宋_GB2312" w:cs="Times New Roman"/>
          <w:color w:val="000000" w:themeColor="text1"/>
          <w:sz w:val="32"/>
          <w:szCs w:val="32"/>
          <w14:textFill>
            <w14:solidFill>
              <w14:schemeClr w14:val="tx1"/>
            </w14:solidFill>
          </w14:textFill>
        </w:rPr>
        <w:t>20</w:t>
      </w:r>
      <w:r>
        <w:rPr>
          <w:rFonts w:hint="eastAsia" w:ascii="方正仿宋_GBK" w:hAnsi="方正仿宋_GBK" w:eastAsia="方正仿宋_GBK" w:cs="方正仿宋_GBK"/>
          <w:color w:val="000000" w:themeColor="text1"/>
          <w:sz w:val="32"/>
          <w:szCs w:val="32"/>
          <w14:textFill>
            <w14:solidFill>
              <w14:schemeClr w14:val="tx1"/>
            </w14:solidFill>
          </w14:textFill>
        </w:rPr>
        <w:t>亿元。</w:t>
      </w:r>
    </w:p>
    <w:p w14:paraId="1DF7585B">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（二）发展重点和路径</w:t>
      </w:r>
    </w:p>
    <w:p w14:paraId="35054D43">
      <w:pPr>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b/>
          <w:bCs/>
          <w:color w:val="000000" w:themeColor="text1"/>
          <w:sz w:val="32"/>
          <w:szCs w:val="32"/>
          <w14:textFill>
            <w14:solidFill>
              <w14:schemeClr w14:val="tx1"/>
            </w14:solidFill>
          </w14:textFill>
        </w:rPr>
      </w:pPr>
      <w:r>
        <w:rPr>
          <w:rFonts w:ascii="Times New Roman" w:hAnsi="Times New Roman" w:eastAsia="仿宋_GB2312" w:cs="Times New Roman"/>
          <w:b/>
          <w:bCs/>
          <w:color w:val="000000" w:themeColor="text1"/>
          <w:sz w:val="32"/>
          <w:szCs w:val="32"/>
          <w14:textFill>
            <w14:solidFill>
              <w14:schemeClr w14:val="tx1"/>
            </w14:solidFill>
          </w14:textFill>
        </w:rPr>
        <w:t>1</w:t>
      </w:r>
      <w:r>
        <w:rPr>
          <w:rFonts w:hint="eastAsia" w:ascii="Times New Roman" w:hAnsi="Times New Roman" w:eastAsia="仿宋_GB2312" w:cs="Times New Roman"/>
          <w:b/>
          <w:bCs/>
          <w:color w:val="000000" w:themeColor="text1"/>
          <w:sz w:val="32"/>
          <w:szCs w:val="32"/>
          <w14:textFill>
            <w14:solidFill>
              <w14:schemeClr w14:val="tx1"/>
            </w14:solidFill>
          </w14:textFill>
        </w:rPr>
        <w:t>．</w:t>
      </w:r>
      <w:r>
        <w:rPr>
          <w:rFonts w:hint="eastAsia" w:ascii="方正仿宋_GBK" w:hAnsi="方正仿宋_GBK" w:eastAsia="方正仿宋_GBK" w:cs="方正仿宋_GBK"/>
          <w:b/>
          <w:bCs/>
          <w:color w:val="000000" w:themeColor="text1"/>
          <w:sz w:val="32"/>
          <w:szCs w:val="32"/>
          <w14:textFill>
            <w14:solidFill>
              <w14:schemeClr w14:val="tx1"/>
            </w14:solidFill>
          </w14:textFill>
        </w:rPr>
        <w:t>轨道交通</w:t>
      </w:r>
    </w:p>
    <w:p w14:paraId="2771D1A4">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紧抓城市轨道交通发展机遇，大力发展齿轮箱、刹车片、动车组轮对、轨道交通装备关键铸件等轨道零部件产业，依托本地轨道交通产业基础，布局发展城市轻轨关键零部件及城市轨道成套装备产业。积极融入合肥、宁波等长三角地区轨道交通产业生态圈，逐步扩大动车组轮对、转向架等关键零部件生产规模，谋划引进轴坯钢、车轮等相关零配件配套企业，提升义安区轨道交通装备本地配套能力和水平，推动形成轨道交通关键零部件产业集聚区。支持高端装备领域龙头等企业积极对接上海交通大学、中科大、中科院等高校、研究所，在铸件热处理、高端轴承等领域开展关键技术攻关。引导轨道交通零部件企业拓展工程承揽、技术服务等业务领域，提高市场竞争力。</w:t>
      </w:r>
    </w:p>
    <w:p w14:paraId="5484534C">
      <w:pPr>
        <w:pageBreakBefore w:val="0"/>
        <w:widowControl w:val="0"/>
        <w:numPr>
          <w:ilvl w:val="255"/>
          <w:numId w:val="0"/>
        </w:numPr>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b/>
          <w:bCs/>
          <w:color w:val="000000" w:themeColor="text1"/>
          <w:sz w:val="32"/>
          <w:szCs w:val="32"/>
          <w14:textFill>
            <w14:solidFill>
              <w14:schemeClr w14:val="tx1"/>
            </w14:solidFill>
          </w14:textFill>
        </w:rPr>
      </w:pPr>
      <w:r>
        <w:rPr>
          <w:rFonts w:ascii="Times New Roman" w:hAnsi="Times New Roman" w:eastAsia="仿宋_GB2312" w:cs="Times New Roman"/>
          <w:b/>
          <w:bCs/>
          <w:color w:val="000000" w:themeColor="text1"/>
          <w:sz w:val="32"/>
          <w:szCs w:val="32"/>
          <w14:textFill>
            <w14:solidFill>
              <w14:schemeClr w14:val="tx1"/>
            </w14:solidFill>
          </w14:textFill>
        </w:rPr>
        <w:t>2</w:t>
      </w:r>
      <w:r>
        <w:rPr>
          <w:rFonts w:hint="eastAsia" w:ascii="Times New Roman" w:hAnsi="Times New Roman" w:eastAsia="仿宋_GB2312" w:cs="Times New Roman"/>
          <w:b/>
          <w:bCs/>
          <w:color w:val="000000" w:themeColor="text1"/>
          <w:sz w:val="32"/>
          <w:szCs w:val="32"/>
          <w14:textFill>
            <w14:solidFill>
              <w14:schemeClr w14:val="tx1"/>
            </w14:solidFill>
          </w14:textFill>
        </w:rPr>
        <w:t>．</w:t>
      </w:r>
      <w:r>
        <w:rPr>
          <w:rFonts w:hint="eastAsia" w:ascii="方正仿宋_GBK" w:hAnsi="方正仿宋_GBK" w:eastAsia="方正仿宋_GBK" w:cs="方正仿宋_GBK"/>
          <w:b/>
          <w:bCs/>
          <w:color w:val="000000" w:themeColor="text1"/>
          <w:sz w:val="32"/>
          <w:szCs w:val="32"/>
          <w14:textFill>
            <w14:solidFill>
              <w14:schemeClr w14:val="tx1"/>
            </w14:solidFill>
          </w14:textFill>
        </w:rPr>
        <w:t>智能装备制造</w:t>
      </w:r>
    </w:p>
    <w:p w14:paraId="04544A9B">
      <w:pPr>
        <w:pageBreakBefore w:val="0"/>
        <w:widowControl w:val="0"/>
        <w:numPr>
          <w:ilvl w:val="255"/>
          <w:numId w:val="0"/>
        </w:numPr>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以智能装备制造为主攻方向，大力发展高性能超精密轴承、精密减速机轴承等智能装备关键基础零部件、机器人整机及关键零部件装备，扩大自动化装备生产规模，布局发展智能矿山机械装备、智能农业机械装备等重大成套装备制造。加速建亚机床铜陵市数控机床产业园项目建设，积极引进数控铣床、万能摇臂铣床、数控车床等领域企业及配套企业，做大做强义安区数控机床产业。依托义安区装备制造基础，探索发展智能矿山机械装备、智能农业机械装备制造，推动传统装备制造产业转型升级。围绕高端装备重大技术需求和短板，主动对接合肥工业大学智能制造技术研究院、</w:t>
      </w:r>
      <w:bookmarkStart w:id="48" w:name="_Hlk74058307"/>
      <w:r>
        <w:rPr>
          <w:rFonts w:hint="eastAsia" w:ascii="方正仿宋_GBK" w:hAnsi="方正仿宋_GBK" w:eastAsia="方正仿宋_GBK" w:cs="方正仿宋_GBK"/>
          <w:color w:val="000000" w:themeColor="text1"/>
          <w:sz w:val="32"/>
          <w:szCs w:val="32"/>
          <w14:textFill>
            <w14:solidFill>
              <w14:schemeClr w14:val="tx1"/>
            </w14:solidFill>
          </w14:textFill>
        </w:rPr>
        <w:t>上海智能制造研究院</w:t>
      </w:r>
      <w:bookmarkEnd w:id="48"/>
      <w:r>
        <w:rPr>
          <w:rFonts w:hint="eastAsia" w:ascii="方正仿宋_GBK" w:hAnsi="方正仿宋_GBK" w:eastAsia="方正仿宋_GBK" w:cs="方正仿宋_GBK"/>
          <w:color w:val="000000" w:themeColor="text1"/>
          <w:sz w:val="32"/>
          <w:szCs w:val="32"/>
          <w14:textFill>
            <w14:solidFill>
              <w14:schemeClr w14:val="tx1"/>
            </w14:solidFill>
          </w14:textFill>
        </w:rPr>
        <w:t>等省内外智能制造领域知名科研院所，引入故障自诊断及远程控制、机床智能化及柔性加工等关键技术装备，提升制造过程的数字化、柔性化及系统集成水平。加快推动工业机器人整机及关键零部件项目建设，重点培育六轴以上机器人、减速机、驱动器等关键核心部件，探索引入传感器、伺服电机、控制器及智能机器人整机制造，推动义安区制造业技改升级。</w:t>
      </w:r>
    </w:p>
    <w:tbl>
      <w:tblPr>
        <w:tblStyle w:val="1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911"/>
      </w:tblGrid>
      <w:tr w14:paraId="3445D4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911" w:type="dxa"/>
            <w:shd w:val="clear" w:color="auto" w:fill="auto"/>
            <w:vAlign w:val="center"/>
          </w:tcPr>
          <w:p w14:paraId="09343E47">
            <w:pPr>
              <w:spacing w:line="400" w:lineRule="exact"/>
              <w:jc w:val="center"/>
              <w:rPr>
                <w:rFonts w:ascii="方正小标宋简体" w:hAnsi="Times New Roman" w:eastAsia="方正小标宋简体" w:cs="Times New Roman"/>
                <w:color w:val="000000" w:themeColor="text1"/>
                <w:sz w:val="32"/>
                <w:szCs w:val="32"/>
                <w14:textFill>
                  <w14:solidFill>
                    <w14:schemeClr w14:val="tx1"/>
                  </w14:solidFill>
                </w14:textFill>
              </w:rPr>
            </w:pPr>
            <w:r>
              <w:rPr>
                <w:rFonts w:ascii="方正小标宋简体" w:hAnsi="Times New Roman" w:eastAsia="方正小标宋简体" w:cs="Times New Roman"/>
                <w:bCs/>
                <w:color w:val="000000" w:themeColor="text1"/>
                <w:sz w:val="32"/>
                <w:szCs w:val="32"/>
                <w14:textFill>
                  <w14:solidFill>
                    <w14:schemeClr w14:val="tx1"/>
                  </w14:solidFill>
                </w14:textFill>
              </w:rPr>
              <w:t>专栏</w:t>
            </w:r>
            <w:r>
              <w:rPr>
                <w:rFonts w:ascii="Times New Roman" w:hAnsi="Times New Roman" w:eastAsia="方正小标宋简体" w:cs="Times New Roman"/>
                <w:bCs/>
                <w:color w:val="000000" w:themeColor="text1"/>
                <w:sz w:val="32"/>
                <w:szCs w:val="32"/>
                <w14:textFill>
                  <w14:solidFill>
                    <w14:schemeClr w14:val="tx1"/>
                  </w14:solidFill>
                </w14:textFill>
              </w:rPr>
              <w:t>3</w:t>
            </w:r>
            <w:r>
              <w:rPr>
                <w:rFonts w:ascii="方正小标宋简体" w:hAnsi="Times New Roman" w:eastAsia="方正小标宋简体" w:cs="Times New Roman"/>
                <w:bCs/>
                <w:color w:val="000000" w:themeColor="text1"/>
                <w:sz w:val="32"/>
                <w:szCs w:val="32"/>
                <w14:textFill>
                  <w14:solidFill>
                    <w14:schemeClr w14:val="tx1"/>
                  </w14:solidFill>
                </w14:textFill>
              </w:rPr>
              <w:t>：高端装备制造项目</w:t>
            </w:r>
          </w:p>
        </w:tc>
      </w:tr>
      <w:tr w14:paraId="2BA600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911" w:type="dxa"/>
            <w:shd w:val="clear" w:color="auto" w:fill="auto"/>
            <w:vAlign w:val="center"/>
          </w:tcPr>
          <w:p w14:paraId="75F900BD">
            <w:pPr>
              <w:spacing w:line="420" w:lineRule="exact"/>
              <w:rPr>
                <w:rFonts w:ascii="宋体" w:hAnsi="宋体" w:eastAsia="宋体" w:cs="Times New Roman"/>
                <w:color w:val="000000" w:themeColor="text1"/>
                <w:sz w:val="28"/>
                <w:szCs w:val="28"/>
                <w14:textFill>
                  <w14:solidFill>
                    <w14:schemeClr w14:val="tx1"/>
                  </w14:solidFill>
                </w14:textFill>
              </w:rPr>
            </w:pPr>
            <w:r>
              <w:rPr>
                <w:rFonts w:ascii="宋体" w:hAnsi="宋体" w:eastAsia="宋体" w:cs="Times New Roman"/>
                <w:b/>
                <w:bCs/>
                <w:color w:val="000000" w:themeColor="text1"/>
                <w:sz w:val="28"/>
                <w:szCs w:val="28"/>
                <w14:textFill>
                  <w14:solidFill>
                    <w14:schemeClr w14:val="tx1"/>
                  </w14:solidFill>
                </w14:textFill>
              </w:rPr>
              <w:t>轨道交通装备项目</w:t>
            </w:r>
            <w:r>
              <w:rPr>
                <w:rFonts w:ascii="宋体" w:hAnsi="宋体" w:eastAsia="宋体" w:cs="Times New Roman"/>
                <w:color w:val="000000" w:themeColor="text1"/>
                <w:sz w:val="28"/>
                <w:szCs w:val="28"/>
                <w14:textFill>
                  <w14:solidFill>
                    <w14:schemeClr w14:val="tx1"/>
                  </w14:solidFill>
                </w14:textFill>
              </w:rPr>
              <w:t>：铸锻件技术改造、地铁轨道交通装备项目、轨道交通及智能运输装备研发技术服务平台项目、万套小模数螺旋伞齿轮项目。</w:t>
            </w:r>
          </w:p>
          <w:p w14:paraId="6C9E3DBB">
            <w:pPr>
              <w:spacing w:line="420" w:lineRule="exact"/>
              <w:rPr>
                <w:rFonts w:ascii="宋体" w:hAnsi="宋体" w:eastAsia="宋体" w:cs="Times New Roman"/>
                <w:color w:val="000000" w:themeColor="text1"/>
                <w:sz w:val="28"/>
                <w:szCs w:val="28"/>
                <w14:textFill>
                  <w14:solidFill>
                    <w14:schemeClr w14:val="tx1"/>
                  </w14:solidFill>
                </w14:textFill>
              </w:rPr>
            </w:pPr>
            <w:r>
              <w:rPr>
                <w:rFonts w:ascii="宋体" w:hAnsi="宋体" w:eastAsia="宋体" w:cs="Times New Roman"/>
                <w:b/>
                <w:bCs/>
                <w:color w:val="000000" w:themeColor="text1"/>
                <w:sz w:val="28"/>
                <w:szCs w:val="28"/>
                <w14:textFill>
                  <w14:solidFill>
                    <w14:schemeClr w14:val="tx1"/>
                  </w14:solidFill>
                </w14:textFill>
              </w:rPr>
              <w:t>智能装备制造项目</w:t>
            </w:r>
            <w:r>
              <w:rPr>
                <w:rFonts w:ascii="宋体" w:hAnsi="宋体" w:eastAsia="宋体" w:cs="Times New Roman"/>
                <w:color w:val="000000" w:themeColor="text1"/>
                <w:sz w:val="28"/>
                <w:szCs w:val="28"/>
                <w14:textFill>
                  <w14:solidFill>
                    <w14:schemeClr w14:val="tx1"/>
                  </w14:solidFill>
                </w14:textFill>
              </w:rPr>
              <w:t>：铜陵市义安区智能装备关键基础零部件重大新兴产业专项、轴承生产无人智能工厂项目、高端轴承精益生产智能化生产线、工业机器人精密减速机(谐波减速器、摆线针轮减速器)轴承高端生产线、万洋新型高端制造产业园项目、柔性线路板、智能制造研发生产服务基地及相关配套项目、年产</w:t>
            </w:r>
            <w:r>
              <w:rPr>
                <w:rFonts w:ascii="Times New Roman" w:hAnsi="Times New Roman" w:eastAsia="宋体" w:cs="Times New Roman"/>
                <w:color w:val="000000" w:themeColor="text1"/>
                <w:sz w:val="28"/>
                <w:szCs w:val="28"/>
                <w14:textFill>
                  <w14:solidFill>
                    <w14:schemeClr w14:val="tx1"/>
                  </w14:solidFill>
                </w14:textFill>
              </w:rPr>
              <w:t>1000</w:t>
            </w:r>
            <w:r>
              <w:rPr>
                <w:rFonts w:ascii="宋体" w:hAnsi="宋体" w:eastAsia="宋体" w:cs="Times New Roman"/>
                <w:color w:val="000000" w:themeColor="text1"/>
                <w:sz w:val="28"/>
                <w:szCs w:val="28"/>
                <w14:textFill>
                  <w14:solidFill>
                    <w14:schemeClr w14:val="tx1"/>
                  </w14:solidFill>
                </w14:textFill>
              </w:rPr>
              <w:t>万台/套多功能便携式智能健康监测设备项目、工业机器人整机及关键零部件国产化产业化项目、建亚机床铜陵市数控机床产业园项目、智能制造研发生产服务基地及相关配套项目、机器人产业园和机器人欢乐小镇项目、年产</w:t>
            </w:r>
            <w:r>
              <w:rPr>
                <w:rFonts w:ascii="Times New Roman" w:hAnsi="Times New Roman" w:eastAsia="宋体" w:cs="Times New Roman"/>
                <w:color w:val="000000" w:themeColor="text1"/>
                <w:sz w:val="28"/>
                <w:szCs w:val="28"/>
                <w14:textFill>
                  <w14:solidFill>
                    <w14:schemeClr w14:val="tx1"/>
                  </w14:solidFill>
                </w14:textFill>
              </w:rPr>
              <w:t>2000</w:t>
            </w:r>
            <w:r>
              <w:rPr>
                <w:rFonts w:ascii="宋体" w:hAnsi="宋体" w:eastAsia="宋体" w:cs="Times New Roman"/>
                <w:color w:val="000000" w:themeColor="text1"/>
                <w:sz w:val="28"/>
                <w:szCs w:val="28"/>
                <w14:textFill>
                  <w14:solidFill>
                    <w14:schemeClr w14:val="tx1"/>
                  </w14:solidFill>
                </w14:textFill>
              </w:rPr>
              <w:t>台新型智能化道路标线成套设备</w:t>
            </w:r>
            <w:r>
              <w:rPr>
                <w:rFonts w:hint="eastAsia" w:ascii="宋体" w:hAnsi="宋体" w:eastAsia="宋体" w:cs="Times New Roman"/>
                <w:color w:val="000000" w:themeColor="text1"/>
                <w:sz w:val="28"/>
                <w:szCs w:val="28"/>
                <w14:textFill>
                  <w14:solidFill>
                    <w14:schemeClr w14:val="tx1"/>
                  </w14:solidFill>
                </w14:textFill>
              </w:rPr>
              <w:t>。</w:t>
            </w:r>
          </w:p>
          <w:p w14:paraId="0DB31E81">
            <w:pPr>
              <w:spacing w:line="460" w:lineRule="exact"/>
              <w:rPr>
                <w:rFonts w:ascii="Times New Roman" w:hAnsi="Times New Roman" w:eastAsia="仿宋_GB2312" w:cs="Times New Roman"/>
                <w:color w:val="000000" w:themeColor="text1"/>
                <w:sz w:val="28"/>
                <w:szCs w:val="28"/>
                <w14:textFill>
                  <w14:solidFill>
                    <w14:schemeClr w14:val="tx1"/>
                  </w14:solidFill>
                </w14:textFill>
              </w:rPr>
            </w:pPr>
            <w:r>
              <w:rPr>
                <w:rFonts w:ascii="宋体" w:hAnsi="宋体" w:eastAsia="宋体" w:cs="Times New Roman"/>
                <w:b/>
                <w:bCs/>
                <w:color w:val="000000" w:themeColor="text1"/>
                <w:sz w:val="28"/>
                <w:szCs w:val="28"/>
                <w14:textFill>
                  <w14:solidFill>
                    <w14:schemeClr w14:val="tx1"/>
                  </w14:solidFill>
                </w14:textFill>
              </w:rPr>
              <w:t>其他项目</w:t>
            </w:r>
            <w:r>
              <w:rPr>
                <w:rFonts w:ascii="宋体" w:hAnsi="宋体" w:eastAsia="宋体" w:cs="Times New Roman"/>
                <w:color w:val="000000" w:themeColor="text1"/>
                <w:sz w:val="28"/>
                <w:szCs w:val="28"/>
                <w14:textFill>
                  <w14:solidFill>
                    <w14:schemeClr w14:val="tx1"/>
                  </w14:solidFill>
                </w14:textFill>
              </w:rPr>
              <w:t>：深探系列设备开发项目、</w:t>
            </w:r>
            <w:r>
              <w:rPr>
                <w:rFonts w:ascii="Times New Roman" w:hAnsi="Times New Roman" w:eastAsia="宋体" w:cs="Times New Roman"/>
                <w:color w:val="000000" w:themeColor="text1"/>
                <w:sz w:val="28"/>
                <w:szCs w:val="28"/>
                <w14:textFill>
                  <w14:solidFill>
                    <w14:schemeClr w14:val="tx1"/>
                  </w14:solidFill>
                </w14:textFill>
              </w:rPr>
              <w:t>2</w:t>
            </w:r>
            <w:r>
              <w:rPr>
                <w:rFonts w:ascii="宋体" w:hAnsi="宋体" w:eastAsia="宋体" w:cs="Times New Roman"/>
                <w:color w:val="000000" w:themeColor="text1"/>
                <w:sz w:val="28"/>
                <w:szCs w:val="28"/>
                <w14:textFill>
                  <w14:solidFill>
                    <w14:schemeClr w14:val="tx1"/>
                  </w14:solidFill>
                </w14:textFill>
              </w:rPr>
              <w:t>.</w:t>
            </w:r>
            <w:r>
              <w:rPr>
                <w:rFonts w:ascii="Times New Roman" w:hAnsi="Times New Roman" w:eastAsia="宋体" w:cs="Times New Roman"/>
                <w:color w:val="000000" w:themeColor="text1"/>
                <w:sz w:val="28"/>
                <w:szCs w:val="28"/>
                <w14:textFill>
                  <w14:solidFill>
                    <w14:schemeClr w14:val="tx1"/>
                  </w14:solidFill>
                </w14:textFill>
              </w:rPr>
              <w:t>5</w:t>
            </w:r>
            <w:r>
              <w:rPr>
                <w:rFonts w:ascii="宋体" w:hAnsi="宋体" w:eastAsia="宋体" w:cs="Times New Roman"/>
                <w:color w:val="000000" w:themeColor="text1"/>
                <w:sz w:val="28"/>
                <w:szCs w:val="28"/>
                <w14:textFill>
                  <w14:solidFill>
                    <w14:schemeClr w14:val="tx1"/>
                  </w14:solidFill>
                </w14:textFill>
              </w:rPr>
              <w:t>万吨千斤顶配件生产线。</w:t>
            </w:r>
          </w:p>
        </w:tc>
      </w:tr>
    </w:tbl>
    <w:p w14:paraId="27725C29">
      <w:pPr>
        <w:spacing w:before="156" w:beforeLines="50" w:after="156" w:afterLines="50" w:line="400" w:lineRule="exact"/>
        <w:jc w:val="center"/>
        <w:rPr>
          <w:rFonts w:ascii="方正小标宋简体" w:hAnsi="Times New Roman" w:eastAsia="方正小标宋简体" w:cs="Times New Roman"/>
          <w:bCs/>
          <w:color w:val="000000" w:themeColor="text1"/>
          <w:sz w:val="32"/>
          <w:szCs w:val="32"/>
          <w14:textFill>
            <w14:solidFill>
              <w14:schemeClr w14:val="tx1"/>
            </w14:solidFill>
          </w14:textFill>
        </w:rPr>
      </w:pPr>
      <w:r>
        <w:rPr>
          <w:rFonts w:ascii="方正小标宋简体" w:hAnsi="Times New Roman" w:eastAsia="方正小标宋简体" w:cs="Times New Roman"/>
          <w:bCs/>
          <w:color w:val="000000" w:themeColor="text1"/>
          <w:sz w:val="32"/>
          <w:szCs w:val="32"/>
          <w14:textFill>
            <w14:solidFill>
              <w14:schemeClr w14:val="tx1"/>
            </w14:solidFill>
          </w14:textFill>
        </w:rPr>
        <w:t>表</w:t>
      </w:r>
      <w:r>
        <w:rPr>
          <w:rFonts w:ascii="Times New Roman" w:hAnsi="Times New Roman" w:eastAsia="方正小标宋简体" w:cs="Times New Roman"/>
          <w:bCs/>
          <w:color w:val="000000" w:themeColor="text1"/>
          <w:sz w:val="32"/>
          <w:szCs w:val="32"/>
          <w14:textFill>
            <w14:solidFill>
              <w14:schemeClr w14:val="tx1"/>
            </w14:solidFill>
          </w14:textFill>
        </w:rPr>
        <w:t>3</w:t>
      </w:r>
      <w:r>
        <w:rPr>
          <w:rFonts w:ascii="方正小标宋简体" w:hAnsi="Times New Roman" w:eastAsia="方正小标宋简体" w:cs="Times New Roman"/>
          <w:bCs/>
          <w:color w:val="000000" w:themeColor="text1"/>
          <w:sz w:val="32"/>
          <w:szCs w:val="32"/>
          <w14:textFill>
            <w14:solidFill>
              <w14:schemeClr w14:val="tx1"/>
            </w14:solidFill>
          </w14:textFill>
        </w:rPr>
        <w:t xml:space="preserve"> 高端装备制造产业链招商参考企业库</w:t>
      </w:r>
    </w:p>
    <w:tbl>
      <w:tblPr>
        <w:tblStyle w:val="14"/>
        <w:tblW w:w="488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157"/>
        <w:gridCol w:w="4753"/>
        <w:gridCol w:w="1945"/>
      </w:tblGrid>
      <w:tr w14:paraId="552BA3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18" w:type="pct"/>
            <w:shd w:val="clear" w:color="auto" w:fill="auto"/>
            <w:vAlign w:val="center"/>
          </w:tcPr>
          <w:p w14:paraId="69466B8E">
            <w:pPr>
              <w:jc w:val="center"/>
              <w:rPr>
                <w:rFonts w:ascii="Times New Roman" w:hAnsi="Times New Roman" w:eastAsia="黑体" w:cs="Times New Roman"/>
                <w:bCs/>
                <w:color w:val="000000" w:themeColor="text1"/>
                <w:sz w:val="24"/>
                <w:szCs w:val="24"/>
                <w14:textFill>
                  <w14:solidFill>
                    <w14:schemeClr w14:val="tx1"/>
                  </w14:solidFill>
                </w14:textFill>
              </w:rPr>
            </w:pPr>
            <w:r>
              <w:rPr>
                <w:rFonts w:ascii="Times New Roman" w:hAnsi="Times New Roman" w:eastAsia="黑体" w:cs="Times New Roman"/>
                <w:bCs/>
                <w:color w:val="000000" w:themeColor="text1"/>
                <w:sz w:val="24"/>
                <w:szCs w:val="24"/>
                <w14:textFill>
                  <w14:solidFill>
                    <w14:schemeClr w14:val="tx1"/>
                  </w14:solidFill>
                </w14:textFill>
              </w:rPr>
              <w:t>企业名称</w:t>
            </w:r>
          </w:p>
        </w:tc>
        <w:tc>
          <w:tcPr>
            <w:tcW w:w="2684" w:type="pct"/>
            <w:shd w:val="clear" w:color="auto" w:fill="auto"/>
            <w:vAlign w:val="center"/>
          </w:tcPr>
          <w:p w14:paraId="4D991E8C">
            <w:pPr>
              <w:jc w:val="center"/>
              <w:rPr>
                <w:rFonts w:ascii="Times New Roman" w:hAnsi="Times New Roman" w:eastAsia="黑体" w:cs="Times New Roman"/>
                <w:bCs/>
                <w:color w:val="000000" w:themeColor="text1"/>
                <w:sz w:val="24"/>
                <w:szCs w:val="24"/>
                <w14:textFill>
                  <w14:solidFill>
                    <w14:schemeClr w14:val="tx1"/>
                  </w14:solidFill>
                </w14:textFill>
              </w:rPr>
            </w:pPr>
            <w:r>
              <w:rPr>
                <w:rFonts w:ascii="Times New Roman" w:hAnsi="Times New Roman" w:eastAsia="黑体" w:cs="Times New Roman"/>
                <w:bCs/>
                <w:color w:val="000000" w:themeColor="text1"/>
                <w:sz w:val="24"/>
                <w:szCs w:val="24"/>
                <w14:textFill>
                  <w14:solidFill>
                    <w14:schemeClr w14:val="tx1"/>
                  </w14:solidFill>
                </w14:textFill>
              </w:rPr>
              <w:t>主营业务范围</w:t>
            </w:r>
          </w:p>
        </w:tc>
        <w:tc>
          <w:tcPr>
            <w:tcW w:w="1098" w:type="pct"/>
            <w:shd w:val="clear" w:color="auto" w:fill="auto"/>
            <w:vAlign w:val="center"/>
          </w:tcPr>
          <w:p w14:paraId="54DDB73C">
            <w:pPr>
              <w:jc w:val="center"/>
              <w:rPr>
                <w:rFonts w:ascii="Times New Roman" w:hAnsi="Times New Roman" w:eastAsia="黑体" w:cs="Times New Roman"/>
                <w:bCs/>
                <w:color w:val="000000" w:themeColor="text1"/>
                <w:sz w:val="24"/>
                <w:szCs w:val="24"/>
                <w14:textFill>
                  <w14:solidFill>
                    <w14:schemeClr w14:val="tx1"/>
                  </w14:solidFill>
                </w14:textFill>
              </w:rPr>
            </w:pPr>
            <w:r>
              <w:rPr>
                <w:rFonts w:ascii="Times New Roman" w:hAnsi="Times New Roman" w:eastAsia="黑体" w:cs="Times New Roman"/>
                <w:bCs/>
                <w:color w:val="000000" w:themeColor="text1"/>
                <w:sz w:val="24"/>
                <w:szCs w:val="24"/>
                <w14:textFill>
                  <w14:solidFill>
                    <w14:schemeClr w14:val="tx1"/>
                  </w14:solidFill>
                </w14:textFill>
              </w:rPr>
              <w:t>引进方向</w:t>
            </w:r>
          </w:p>
          <w:p w14:paraId="0635B349">
            <w:pPr>
              <w:jc w:val="center"/>
              <w:rPr>
                <w:rFonts w:ascii="Times New Roman" w:hAnsi="Times New Roman" w:eastAsia="黑体" w:cs="Times New Roman"/>
                <w:bCs/>
                <w:color w:val="000000" w:themeColor="text1"/>
                <w:spacing w:val="-14"/>
                <w:sz w:val="24"/>
                <w:szCs w:val="24"/>
                <w14:textFill>
                  <w14:solidFill>
                    <w14:schemeClr w14:val="tx1"/>
                  </w14:solidFill>
                </w14:textFill>
              </w:rPr>
            </w:pPr>
            <w:r>
              <w:rPr>
                <w:rFonts w:ascii="Times New Roman" w:hAnsi="Times New Roman" w:eastAsia="黑体" w:cs="Times New Roman"/>
                <w:bCs/>
                <w:color w:val="000000" w:themeColor="text1"/>
                <w:spacing w:val="-14"/>
                <w:sz w:val="24"/>
                <w:szCs w:val="24"/>
                <w14:textFill>
                  <w14:solidFill>
                    <w14:schemeClr w14:val="tx1"/>
                  </w14:solidFill>
                </w14:textFill>
              </w:rPr>
              <w:t>（强链延链补链）</w:t>
            </w:r>
          </w:p>
        </w:tc>
      </w:tr>
      <w:tr w14:paraId="6B5360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218" w:type="pct"/>
            <w:shd w:val="clear" w:color="auto" w:fill="auto"/>
            <w:vAlign w:val="center"/>
          </w:tcPr>
          <w:p w14:paraId="062C573F">
            <w:pPr>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南京高精传动设备制造集团有限公司</w:t>
            </w:r>
          </w:p>
        </w:tc>
        <w:tc>
          <w:tcPr>
            <w:tcW w:w="2684" w:type="pct"/>
            <w:shd w:val="clear" w:color="auto" w:fill="auto"/>
            <w:vAlign w:val="center"/>
          </w:tcPr>
          <w:p w14:paraId="6E1BB505">
            <w:pP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主要生产建材专用齿轮箱、冶金专用齿轮箱、风力发电齿轮箱、铁路机车齿轮箱、石化专用齿轮箱等产品。</w:t>
            </w:r>
          </w:p>
        </w:tc>
        <w:tc>
          <w:tcPr>
            <w:tcW w:w="1098" w:type="pct"/>
            <w:shd w:val="clear" w:color="auto" w:fill="auto"/>
            <w:vAlign w:val="center"/>
          </w:tcPr>
          <w:p w14:paraId="37FC764E">
            <w:pP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补链：轨道交通</w:t>
            </w:r>
          </w:p>
        </w:tc>
      </w:tr>
      <w:tr w14:paraId="02B566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218" w:type="pct"/>
            <w:shd w:val="clear" w:color="auto" w:fill="auto"/>
            <w:vAlign w:val="center"/>
          </w:tcPr>
          <w:p w14:paraId="78BC646F">
            <w:pPr>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浙江杭能轨道交通设备股份有限公司</w:t>
            </w:r>
          </w:p>
        </w:tc>
        <w:tc>
          <w:tcPr>
            <w:tcW w:w="2684" w:type="pct"/>
            <w:shd w:val="clear" w:color="auto" w:fill="auto"/>
            <w:vAlign w:val="center"/>
          </w:tcPr>
          <w:p w14:paraId="6E65DBD9">
            <w:pP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主要从事城市轨道交通车辆、动车组、铁路机车、客车、货车零部件的研发、制造、销售、修理、租赁等。</w:t>
            </w:r>
          </w:p>
        </w:tc>
        <w:tc>
          <w:tcPr>
            <w:tcW w:w="1098" w:type="pct"/>
            <w:shd w:val="clear" w:color="auto" w:fill="auto"/>
            <w:vAlign w:val="center"/>
          </w:tcPr>
          <w:p w14:paraId="54B018D4">
            <w:pP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补链：轨道交通</w:t>
            </w:r>
          </w:p>
        </w:tc>
      </w:tr>
      <w:tr w14:paraId="1DD6CB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218" w:type="pct"/>
            <w:shd w:val="clear" w:color="auto" w:fill="auto"/>
            <w:vAlign w:val="center"/>
          </w:tcPr>
          <w:p w14:paraId="043345D1">
            <w:pPr>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南京埃斯顿自动化股份有限公司</w:t>
            </w:r>
          </w:p>
        </w:tc>
        <w:tc>
          <w:tcPr>
            <w:tcW w:w="2684" w:type="pct"/>
            <w:shd w:val="clear" w:color="auto" w:fill="auto"/>
            <w:vAlign w:val="center"/>
          </w:tcPr>
          <w:p w14:paraId="3E0A1EA5">
            <w:pP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主要从事高端智能机械装备及其核心控制和功能部件的研发、生产和销售，产品包括六轴通用机器人、四轴码垛机器人、</w:t>
            </w:r>
            <w:r>
              <w:rPr>
                <w:rFonts w:ascii="Times New Roman" w:hAnsi="Times New Roman" w:eastAsia="宋体" w:cs="Times New Roman"/>
                <w:color w:val="000000" w:themeColor="text1"/>
                <w:sz w:val="24"/>
                <w:szCs w:val="24"/>
                <w14:textFill>
                  <w14:solidFill>
                    <w14:schemeClr w14:val="tx1"/>
                  </w14:solidFill>
                </w14:textFill>
              </w:rPr>
              <w:t>SCARA</w:t>
            </w:r>
            <w:r>
              <w:rPr>
                <w:rFonts w:ascii="宋体" w:hAnsi="宋体" w:eastAsia="宋体" w:cs="Times New Roman"/>
                <w:color w:val="000000" w:themeColor="text1"/>
                <w:sz w:val="24"/>
                <w:szCs w:val="24"/>
                <w14:textFill>
                  <w14:solidFill>
                    <w14:schemeClr w14:val="tx1"/>
                  </w14:solidFill>
                </w14:textFill>
              </w:rPr>
              <w:t>机器人、</w:t>
            </w:r>
            <w:r>
              <w:rPr>
                <w:rFonts w:ascii="Times New Roman" w:hAnsi="Times New Roman" w:eastAsia="宋体" w:cs="Times New Roman"/>
                <w:color w:val="000000" w:themeColor="text1"/>
                <w:sz w:val="24"/>
                <w:szCs w:val="24"/>
                <w14:textFill>
                  <w14:solidFill>
                    <w14:schemeClr w14:val="tx1"/>
                  </w14:solidFill>
                </w14:textFill>
              </w:rPr>
              <w:t>DELTA</w:t>
            </w:r>
            <w:r>
              <w:rPr>
                <w:rFonts w:ascii="宋体" w:hAnsi="宋体" w:eastAsia="宋体" w:cs="Times New Roman"/>
                <w:color w:val="000000" w:themeColor="text1"/>
                <w:sz w:val="24"/>
                <w:szCs w:val="24"/>
                <w14:textFill>
                  <w14:solidFill>
                    <w14:schemeClr w14:val="tx1"/>
                  </w14:solidFill>
                </w14:textFill>
              </w:rPr>
              <w:t>机器人以及伺服机械手和智能成套设备等。</w:t>
            </w:r>
          </w:p>
        </w:tc>
        <w:tc>
          <w:tcPr>
            <w:tcW w:w="1098" w:type="pct"/>
            <w:shd w:val="clear" w:color="auto" w:fill="auto"/>
            <w:vAlign w:val="center"/>
          </w:tcPr>
          <w:p w14:paraId="254687DC">
            <w:pP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补链：智能装备和机器人</w:t>
            </w:r>
          </w:p>
        </w:tc>
      </w:tr>
      <w:tr w14:paraId="0E899C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218" w:type="pct"/>
            <w:shd w:val="clear" w:color="auto" w:fill="auto"/>
            <w:vAlign w:val="center"/>
          </w:tcPr>
          <w:p w14:paraId="511FE64D">
            <w:pPr>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埃夫特智能装备</w:t>
            </w:r>
          </w:p>
          <w:p w14:paraId="5436B529">
            <w:pPr>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股份有限公司</w:t>
            </w:r>
          </w:p>
        </w:tc>
        <w:tc>
          <w:tcPr>
            <w:tcW w:w="2684" w:type="pct"/>
            <w:shd w:val="clear" w:color="auto" w:fill="auto"/>
            <w:vAlign w:val="center"/>
          </w:tcPr>
          <w:p w14:paraId="51D0D0E4">
            <w:pP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从事工业机器人整机及其核心零部件、系统集成的研发、生产、销售，产品包括</w:t>
            </w:r>
            <w:r>
              <w:rPr>
                <w:rFonts w:ascii="Times New Roman" w:hAnsi="Times New Roman" w:eastAsia="宋体" w:cs="Times New Roman"/>
                <w:color w:val="000000" w:themeColor="text1"/>
                <w:sz w:val="24"/>
                <w:szCs w:val="24"/>
                <w14:textFill>
                  <w14:solidFill>
                    <w14:schemeClr w14:val="tx1"/>
                  </w14:solidFill>
                </w14:textFill>
              </w:rPr>
              <w:t>CMA</w:t>
            </w:r>
            <w:r>
              <w:rPr>
                <w:rFonts w:ascii="宋体" w:hAnsi="宋体" w:eastAsia="宋体" w:cs="Times New Roman"/>
                <w:color w:val="000000" w:themeColor="text1"/>
                <w:sz w:val="24"/>
                <w:szCs w:val="24"/>
                <w14:textFill>
                  <w14:solidFill>
                    <w14:schemeClr w14:val="tx1"/>
                  </w14:solidFill>
                </w14:textFill>
              </w:rPr>
              <w:t>喷涂机器人等。</w:t>
            </w:r>
          </w:p>
        </w:tc>
        <w:tc>
          <w:tcPr>
            <w:tcW w:w="1098" w:type="pct"/>
            <w:shd w:val="clear" w:color="auto" w:fill="auto"/>
            <w:vAlign w:val="center"/>
          </w:tcPr>
          <w:p w14:paraId="52EAA35A">
            <w:pP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补链：机器人</w:t>
            </w:r>
          </w:p>
        </w:tc>
      </w:tr>
      <w:tr w14:paraId="4B3A64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218" w:type="pct"/>
            <w:shd w:val="clear" w:color="auto" w:fill="auto"/>
            <w:vAlign w:val="center"/>
          </w:tcPr>
          <w:p w14:paraId="0E74961D">
            <w:pPr>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沈阳机床股份</w:t>
            </w:r>
          </w:p>
          <w:p w14:paraId="504398B4">
            <w:pPr>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有限公司</w:t>
            </w:r>
          </w:p>
        </w:tc>
        <w:tc>
          <w:tcPr>
            <w:tcW w:w="2684" w:type="pct"/>
            <w:shd w:val="clear" w:color="auto" w:fill="auto"/>
            <w:vAlign w:val="center"/>
          </w:tcPr>
          <w:p w14:paraId="4C4622AF">
            <w:pP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数控机床、普通机床及其关键功能部件研发、生产和销售，产品包括纳米级数控钻铣床、数控龙门镗铣床、数控龙门磨床、数控外圆磨床、万能摇臂铣床等。</w:t>
            </w:r>
          </w:p>
        </w:tc>
        <w:tc>
          <w:tcPr>
            <w:tcW w:w="1098" w:type="pct"/>
            <w:shd w:val="clear" w:color="auto" w:fill="auto"/>
            <w:vAlign w:val="center"/>
          </w:tcPr>
          <w:p w14:paraId="39AD5FA1">
            <w:pP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补链：智能装备</w:t>
            </w:r>
          </w:p>
        </w:tc>
      </w:tr>
      <w:tr w14:paraId="5DD001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218" w:type="pct"/>
            <w:shd w:val="clear" w:color="auto" w:fill="auto"/>
            <w:vAlign w:val="center"/>
          </w:tcPr>
          <w:p w14:paraId="1A409B39">
            <w:pPr>
              <w:jc w:val="center"/>
              <w:rPr>
                <w:rFonts w:ascii="宋体" w:hAnsi="宋体" w:eastAsia="宋体" w:cs="Times New Roman"/>
                <w:sz w:val="24"/>
                <w:szCs w:val="24"/>
              </w:rPr>
            </w:pPr>
            <w:r>
              <w:rPr>
                <w:rFonts w:ascii="宋体" w:hAnsi="宋体" w:eastAsia="宋体" w:cs="Times New Roman"/>
                <w:sz w:val="24"/>
                <w:szCs w:val="24"/>
              </w:rPr>
              <w:t>太原重工轨道交通设备有限公司</w:t>
            </w:r>
          </w:p>
        </w:tc>
        <w:tc>
          <w:tcPr>
            <w:tcW w:w="2684" w:type="pct"/>
            <w:shd w:val="clear" w:color="auto" w:fill="auto"/>
            <w:vAlign w:val="center"/>
          </w:tcPr>
          <w:p w14:paraId="3B8F895D">
            <w:pPr>
              <w:rPr>
                <w:rFonts w:ascii="宋体" w:hAnsi="宋体" w:eastAsia="宋体" w:cs="Times New Roman"/>
                <w:sz w:val="24"/>
                <w:szCs w:val="24"/>
              </w:rPr>
            </w:pPr>
            <w:r>
              <w:rPr>
                <w:rFonts w:ascii="宋体" w:hAnsi="宋体" w:eastAsia="宋体" w:cs="Times New Roman"/>
                <w:sz w:val="24"/>
                <w:szCs w:val="24"/>
              </w:rPr>
              <w:t>主要生产轨道交通轮、轴、轮对、轮对总成、齿轮箱、转向架、制动盘及其配件、部件，工矿车辆及工业用行车轮、滑轮、齿轮坯、车轮组及其配件、部件等。</w:t>
            </w:r>
          </w:p>
        </w:tc>
        <w:tc>
          <w:tcPr>
            <w:tcW w:w="1098" w:type="pct"/>
            <w:shd w:val="clear" w:color="auto" w:fill="auto"/>
            <w:vAlign w:val="center"/>
          </w:tcPr>
          <w:p w14:paraId="0C957C58">
            <w:pPr>
              <w:rPr>
                <w:rFonts w:ascii="宋体" w:hAnsi="宋体" w:eastAsia="宋体" w:cs="Times New Roman"/>
                <w:sz w:val="24"/>
                <w:szCs w:val="24"/>
              </w:rPr>
            </w:pPr>
            <w:r>
              <w:rPr>
                <w:rFonts w:ascii="宋体" w:hAnsi="宋体" w:eastAsia="宋体" w:cs="Times New Roman"/>
                <w:sz w:val="24"/>
                <w:szCs w:val="24"/>
              </w:rPr>
              <w:t>延链补链：轨道交通</w:t>
            </w:r>
          </w:p>
        </w:tc>
      </w:tr>
      <w:tr w14:paraId="67D6B9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218" w:type="pct"/>
            <w:shd w:val="clear" w:color="auto" w:fill="auto"/>
            <w:vAlign w:val="center"/>
          </w:tcPr>
          <w:p w14:paraId="0E2206E1">
            <w:pPr>
              <w:jc w:val="center"/>
              <w:rPr>
                <w:rFonts w:ascii="宋体" w:hAnsi="宋体" w:eastAsia="宋体" w:cs="Times New Roman"/>
                <w:sz w:val="24"/>
                <w:szCs w:val="24"/>
              </w:rPr>
            </w:pPr>
            <w:r>
              <w:rPr>
                <w:rFonts w:ascii="宋体" w:hAnsi="宋体" w:eastAsia="宋体" w:cs="Times New Roman"/>
                <w:sz w:val="24"/>
                <w:szCs w:val="24"/>
              </w:rPr>
              <w:t>今创集团股份</w:t>
            </w:r>
          </w:p>
          <w:p w14:paraId="0FD0BB2E">
            <w:pPr>
              <w:jc w:val="center"/>
              <w:rPr>
                <w:rFonts w:ascii="宋体" w:hAnsi="宋体" w:eastAsia="宋体" w:cs="Times New Roman"/>
                <w:sz w:val="24"/>
                <w:szCs w:val="24"/>
              </w:rPr>
            </w:pPr>
            <w:r>
              <w:rPr>
                <w:rFonts w:ascii="宋体" w:hAnsi="宋体" w:eastAsia="宋体" w:cs="Times New Roman"/>
                <w:sz w:val="24"/>
                <w:szCs w:val="24"/>
              </w:rPr>
              <w:t>有限公司</w:t>
            </w:r>
          </w:p>
        </w:tc>
        <w:tc>
          <w:tcPr>
            <w:tcW w:w="2684" w:type="pct"/>
            <w:shd w:val="clear" w:color="auto" w:fill="auto"/>
            <w:vAlign w:val="center"/>
          </w:tcPr>
          <w:p w14:paraId="55A99340">
            <w:pPr>
              <w:rPr>
                <w:rFonts w:ascii="宋体" w:hAnsi="宋体" w:eastAsia="宋体" w:cs="Times New Roman"/>
                <w:sz w:val="24"/>
                <w:szCs w:val="24"/>
              </w:rPr>
            </w:pPr>
            <w:r>
              <w:rPr>
                <w:rFonts w:ascii="宋体" w:hAnsi="宋体" w:eastAsia="宋体" w:cs="Times New Roman"/>
                <w:sz w:val="24"/>
                <w:szCs w:val="24"/>
              </w:rPr>
              <w:t>主要生产高速铁路、铁路客运专线、城际铁路、干线铁路、城市轨道交通的运输设备关键零部件（控制系统、机车车辆配件）等。</w:t>
            </w:r>
          </w:p>
        </w:tc>
        <w:tc>
          <w:tcPr>
            <w:tcW w:w="1098" w:type="pct"/>
            <w:shd w:val="clear" w:color="auto" w:fill="auto"/>
            <w:vAlign w:val="center"/>
          </w:tcPr>
          <w:p w14:paraId="6582D949">
            <w:pPr>
              <w:rPr>
                <w:rFonts w:ascii="宋体" w:hAnsi="宋体" w:eastAsia="宋体" w:cs="Times New Roman"/>
                <w:sz w:val="24"/>
                <w:szCs w:val="24"/>
              </w:rPr>
            </w:pPr>
            <w:r>
              <w:rPr>
                <w:rFonts w:ascii="宋体" w:hAnsi="宋体" w:eastAsia="宋体" w:cs="Times New Roman"/>
                <w:sz w:val="24"/>
                <w:szCs w:val="24"/>
              </w:rPr>
              <w:t>补链：轨道交通</w:t>
            </w:r>
          </w:p>
        </w:tc>
      </w:tr>
    </w:tbl>
    <w:p w14:paraId="33A8D02F">
      <w:pPr>
        <w:pStyle w:val="4"/>
        <w:keepNext w:val="0"/>
        <w:keepLines w:val="0"/>
        <w:pageBreakBefore w:val="0"/>
        <w:widowControl w:val="0"/>
        <w:kinsoku/>
        <w:wordWrap/>
        <w:overflowPunct/>
        <w:topLinePunct w:val="0"/>
        <w:autoSpaceDE/>
        <w:autoSpaceDN/>
        <w:bidi w:val="0"/>
        <w:adjustRightInd/>
        <w:snapToGrid/>
        <w:spacing w:before="0" w:after="0" w:line="590" w:lineRule="exact"/>
        <w:ind w:firstLine="640" w:firstLineChars="200"/>
        <w:textAlignment w:val="auto"/>
        <w:rPr>
          <w:rFonts w:hint="eastAsia" w:ascii="方正黑体_GBK" w:hAnsi="方正黑体_GBK" w:eastAsia="方正黑体_GBK" w:cs="方正黑体_GBK"/>
          <w:b w:val="0"/>
          <w:color w:val="000000" w:themeColor="text1"/>
          <w14:textFill>
            <w14:solidFill>
              <w14:schemeClr w14:val="tx1"/>
            </w14:solidFill>
          </w14:textFill>
        </w:rPr>
      </w:pPr>
      <w:bookmarkStart w:id="49" w:name="_Toc76137880"/>
      <w:bookmarkStart w:id="50" w:name="_Toc76137909"/>
      <w:r>
        <w:rPr>
          <w:rFonts w:hint="eastAsia" w:ascii="方正黑体_GBK" w:hAnsi="方正黑体_GBK" w:eastAsia="方正黑体_GBK" w:cs="方正黑体_GBK"/>
          <w:b w:val="0"/>
          <w:color w:val="000000" w:themeColor="text1"/>
          <w14:textFill>
            <w14:solidFill>
              <w14:schemeClr w14:val="tx1"/>
            </w14:solidFill>
          </w14:textFill>
        </w:rPr>
        <w:t>三、新能源汽车及零部件</w:t>
      </w:r>
      <w:bookmarkEnd w:id="49"/>
      <w:bookmarkEnd w:id="50"/>
    </w:p>
    <w:p w14:paraId="6E476F4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ascii="Times New Roman" w:hAnsi="Times New Roman" w:eastAsia="楷体_GB2312" w:cs="Times New Roman"/>
          <w:b/>
          <w:bCs/>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（一）发展思路和目标</w:t>
      </w:r>
    </w:p>
    <w:p w14:paraId="4585706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抢抓长三角新能源汽车及零部件产业发展机遇，以集群化、高端化为中心，不断增强对新能源整车产业配套能力，力争到</w:t>
      </w:r>
      <w:r>
        <w:rPr>
          <w:rFonts w:ascii="Times New Roman" w:hAnsi="Times New Roman" w:eastAsia="仿宋_GB2312" w:cs="Times New Roman"/>
          <w:color w:val="000000" w:themeColor="text1"/>
          <w:sz w:val="32"/>
          <w:szCs w:val="32"/>
          <w14:textFill>
            <w14:solidFill>
              <w14:schemeClr w14:val="tx1"/>
            </w14:solidFill>
          </w14:textFill>
        </w:rPr>
        <w:t>2025</w:t>
      </w:r>
      <w:r>
        <w:rPr>
          <w:rFonts w:hint="eastAsia" w:ascii="方正仿宋_GBK" w:hAnsi="方正仿宋_GBK" w:eastAsia="方正仿宋_GBK" w:cs="方正仿宋_GBK"/>
          <w:color w:val="000000" w:themeColor="text1"/>
          <w:sz w:val="32"/>
          <w:szCs w:val="32"/>
          <w14:textFill>
            <w14:solidFill>
              <w14:schemeClr w14:val="tx1"/>
            </w14:solidFill>
          </w14:textFill>
        </w:rPr>
        <w:t>年，义安区新能源汽车及零部件产业产值达</w:t>
      </w:r>
      <w:r>
        <w:rPr>
          <w:rFonts w:ascii="Times New Roman" w:hAnsi="Times New Roman" w:eastAsia="仿宋_GB2312" w:cs="Times New Roman"/>
          <w:color w:val="000000" w:themeColor="text1"/>
          <w:sz w:val="32"/>
          <w:szCs w:val="32"/>
          <w14:textFill>
            <w14:solidFill>
              <w14:schemeClr w14:val="tx1"/>
            </w14:solidFill>
          </w14:textFill>
        </w:rPr>
        <w:t>10</w:t>
      </w:r>
      <w:r>
        <w:rPr>
          <w:rFonts w:hint="eastAsia" w:ascii="方正仿宋_GBK" w:hAnsi="方正仿宋_GBK" w:eastAsia="方正仿宋_GBK" w:cs="方正仿宋_GBK"/>
          <w:color w:val="000000" w:themeColor="text1"/>
          <w:sz w:val="32"/>
          <w:szCs w:val="32"/>
          <w14:textFill>
            <w14:solidFill>
              <w14:schemeClr w14:val="tx1"/>
            </w14:solidFill>
          </w14:textFill>
        </w:rPr>
        <w:t>亿元，打造长三角重要的新能源汽车零部件特色产业集群。</w:t>
      </w:r>
    </w:p>
    <w:p w14:paraId="2B3514E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（二）发展重点</w:t>
      </w:r>
    </w:p>
    <w:p w14:paraId="2E6EB4D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立足义安区新能源汽车及零部件产业基础，重点发展混合动力专用变速器及配套、汽车紧固件、汽车智能装备零部件及相关汽车配件等领域。依托长三角一体化发展契机，引进和培育发展电池、电机及相关零部件制造领域。特色发展拆解回收利用领域，推动汽车资源循环利用。</w:t>
      </w:r>
    </w:p>
    <w:p w14:paraId="681C38F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（三）发展路径</w:t>
      </w:r>
    </w:p>
    <w:p w14:paraId="1DC1BFDC">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ascii="Times New Roman" w:hAnsi="Times New Roman" w:eastAsia="仿宋_GB2312" w:cs="Times New Roman"/>
          <w:b/>
          <w:bCs/>
          <w:color w:val="000000" w:themeColor="text1"/>
          <w:sz w:val="32"/>
          <w:szCs w:val="32"/>
          <w14:textFill>
            <w14:solidFill>
              <w14:schemeClr w14:val="tx1"/>
            </w14:solidFill>
          </w14:textFill>
        </w:rPr>
        <w:t>1</w:t>
      </w:r>
      <w:r>
        <w:rPr>
          <w:rFonts w:hint="eastAsia" w:ascii="Times New Roman" w:hAnsi="Times New Roman" w:eastAsia="仿宋_GB2312" w:cs="Times New Roman"/>
          <w:b/>
          <w:bCs/>
          <w:color w:val="000000" w:themeColor="text1"/>
          <w:sz w:val="32"/>
          <w:szCs w:val="32"/>
          <w14:textFill>
            <w14:solidFill>
              <w14:schemeClr w14:val="tx1"/>
            </w14:solidFill>
          </w14:textFill>
        </w:rPr>
        <w:t>．</w:t>
      </w:r>
      <w:r>
        <w:rPr>
          <w:rFonts w:hint="eastAsia" w:ascii="方正仿宋_GBK" w:hAnsi="方正仿宋_GBK" w:eastAsia="方正仿宋_GBK" w:cs="方正仿宋_GBK"/>
          <w:b/>
          <w:bCs/>
          <w:color w:val="000000" w:themeColor="text1"/>
          <w:sz w:val="32"/>
          <w:szCs w:val="32"/>
          <w14:textFill>
            <w14:solidFill>
              <w14:schemeClr w14:val="tx1"/>
            </w14:solidFill>
          </w14:textFill>
        </w:rPr>
        <w:t>加快发展新能源汽车零部件产业集群</w:t>
      </w:r>
    </w:p>
    <w:p w14:paraId="2CEA1EE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依托嘉铜产业园，与海盐县加强合作，积极承接海盐县汽车紧固件及相关零部件产业转移承接力度，推进紧固件产业集聚发展。支持安亚实业、铜陵祥春科技等企业做大做强，增强对大众、长安等整车企业配套能力，扩大车载空调配件、汽车生产用工装夹具等产品生产规模。加快汽车零部件智能装备产业园建设，布局发展汽车智能制造零部件产业领域，壮大新能源汽车产业集群。依托本地汽车轴承生产基础，扩大新能源汽车系列轴承及进口替代新能源汽车高端轴承生产规模。</w:t>
      </w:r>
    </w:p>
    <w:p w14:paraId="2CAF9447">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ascii="Times New Roman" w:hAnsi="Times New Roman" w:eastAsia="仿宋_GB2312" w:cs="Times New Roman"/>
          <w:b/>
          <w:bCs/>
          <w:color w:val="000000" w:themeColor="text1"/>
          <w:sz w:val="32"/>
          <w:szCs w:val="32"/>
          <w14:textFill>
            <w14:solidFill>
              <w14:schemeClr w14:val="tx1"/>
            </w14:solidFill>
          </w14:textFill>
        </w:rPr>
        <w:t>2</w:t>
      </w:r>
      <w:r>
        <w:rPr>
          <w:rFonts w:hint="eastAsia" w:ascii="Times New Roman" w:hAnsi="Times New Roman" w:eastAsia="仿宋_GB2312" w:cs="Times New Roman"/>
          <w:b/>
          <w:bCs/>
          <w:color w:val="000000" w:themeColor="text1"/>
          <w:sz w:val="32"/>
          <w:szCs w:val="32"/>
          <w14:textFill>
            <w14:solidFill>
              <w14:schemeClr w14:val="tx1"/>
            </w14:solidFill>
          </w14:textFill>
        </w:rPr>
        <w:t>．</w:t>
      </w:r>
      <w:r>
        <w:rPr>
          <w:rFonts w:hint="eastAsia" w:ascii="方正仿宋_GBK" w:hAnsi="方正仿宋_GBK" w:eastAsia="方正仿宋_GBK" w:cs="方正仿宋_GBK"/>
          <w:b/>
          <w:bCs/>
          <w:color w:val="000000" w:themeColor="text1"/>
          <w:sz w:val="32"/>
          <w:szCs w:val="32"/>
          <w14:textFill>
            <w14:solidFill>
              <w14:schemeClr w14:val="tx1"/>
            </w14:solidFill>
          </w14:textFill>
        </w:rPr>
        <w:t>布局发展电池、电机、电控等核心零部件领域</w:t>
      </w:r>
    </w:p>
    <w:p w14:paraId="66D828E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重点排摸长三角地区电池、电机、电控及汽车电子等领域头部企业，通过驻点洽谈、提高项目落地补贴等方式，大力招引新能源汽车核心零部件头部企业入驻义安区。推进珈伟新能类固态锂电池项目建设进度，发展高端锂离子二次电池材料、锂离子电池及电池包制造领域。支持企业加大在新能源汽车电机领域研发投入力度，提升电动车用开关磁阻电机生产规模和附加值。抢抓上海、合肥等城市智能网联汽车发展机遇，依托义安区新一代信息技术及新材料等产业发展基础，探索发展电控、传感器及汽车电子零部件制造等领域。</w:t>
      </w:r>
    </w:p>
    <w:tbl>
      <w:tblPr>
        <w:tblStyle w:val="14"/>
        <w:tblW w:w="883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831"/>
      </w:tblGrid>
      <w:tr w14:paraId="392E2F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831" w:type="dxa"/>
            <w:shd w:val="clear" w:color="auto" w:fill="auto"/>
            <w:vAlign w:val="center"/>
          </w:tcPr>
          <w:p w14:paraId="0DA62034">
            <w:pPr>
              <w:spacing w:line="400" w:lineRule="exact"/>
              <w:jc w:val="center"/>
              <w:rPr>
                <w:rFonts w:ascii="方正小标宋简体" w:hAnsi="Times New Roman" w:eastAsia="方正小标宋简体" w:cs="Times New Roman"/>
                <w:bCs/>
                <w:color w:val="000000" w:themeColor="text1"/>
                <w:sz w:val="32"/>
                <w:szCs w:val="32"/>
                <w14:textFill>
                  <w14:solidFill>
                    <w14:schemeClr w14:val="tx1"/>
                  </w14:solidFill>
                </w14:textFill>
              </w:rPr>
            </w:pPr>
            <w:r>
              <w:rPr>
                <w:rFonts w:ascii="方正小标宋简体" w:hAnsi="Times New Roman" w:eastAsia="方正小标宋简体" w:cs="Times New Roman"/>
                <w:bCs/>
                <w:color w:val="000000" w:themeColor="text1"/>
                <w:sz w:val="32"/>
                <w:szCs w:val="32"/>
                <w14:textFill>
                  <w14:solidFill>
                    <w14:schemeClr w14:val="tx1"/>
                  </w14:solidFill>
                </w14:textFill>
              </w:rPr>
              <w:t>专栏</w:t>
            </w:r>
            <w:r>
              <w:rPr>
                <w:rFonts w:ascii="Times New Roman" w:hAnsi="Times New Roman" w:eastAsia="方正小标宋简体" w:cs="Times New Roman"/>
                <w:bCs/>
                <w:color w:val="000000" w:themeColor="text1"/>
                <w:sz w:val="32"/>
                <w:szCs w:val="32"/>
                <w14:textFill>
                  <w14:solidFill>
                    <w14:schemeClr w14:val="tx1"/>
                  </w14:solidFill>
                </w14:textFill>
              </w:rPr>
              <w:t>4</w:t>
            </w:r>
            <w:r>
              <w:rPr>
                <w:rFonts w:ascii="方正小标宋简体" w:hAnsi="Times New Roman" w:eastAsia="方正小标宋简体" w:cs="Times New Roman"/>
                <w:bCs/>
                <w:color w:val="000000" w:themeColor="text1"/>
                <w:sz w:val="32"/>
                <w:szCs w:val="32"/>
                <w14:textFill>
                  <w14:solidFill>
                    <w14:schemeClr w14:val="tx1"/>
                  </w14:solidFill>
                </w14:textFill>
              </w:rPr>
              <w:t>：新能源汽车及零部件产业项目</w:t>
            </w:r>
          </w:p>
        </w:tc>
      </w:tr>
      <w:tr w14:paraId="4E0D70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58" w:hRule="atLeast"/>
          <w:jc w:val="center"/>
        </w:trPr>
        <w:tc>
          <w:tcPr>
            <w:tcW w:w="8831" w:type="dxa"/>
            <w:shd w:val="clear" w:color="auto" w:fill="auto"/>
            <w:vAlign w:val="center"/>
          </w:tcPr>
          <w:p w14:paraId="3BD3B0DA">
            <w:pPr>
              <w:spacing w:line="500" w:lineRule="exact"/>
              <w:rPr>
                <w:rFonts w:ascii="宋体" w:hAnsi="宋体" w:eastAsia="宋体" w:cs="Times New Roman"/>
                <w:color w:val="000000" w:themeColor="text1"/>
                <w:sz w:val="28"/>
                <w:szCs w:val="28"/>
                <w14:textFill>
                  <w14:solidFill>
                    <w14:schemeClr w14:val="tx1"/>
                  </w14:solidFill>
                </w14:textFill>
              </w:rPr>
            </w:pPr>
            <w:r>
              <w:rPr>
                <w:rFonts w:ascii="宋体" w:hAnsi="宋体" w:eastAsia="宋体" w:cs="Times New Roman"/>
                <w:b/>
                <w:bCs/>
                <w:color w:val="000000" w:themeColor="text1"/>
                <w:sz w:val="28"/>
                <w:szCs w:val="28"/>
                <w14:textFill>
                  <w14:solidFill>
                    <w14:schemeClr w14:val="tx1"/>
                  </w14:solidFill>
                </w14:textFill>
              </w:rPr>
              <w:t>新能源汽车零部（配）件项目</w:t>
            </w:r>
            <w:r>
              <w:rPr>
                <w:rFonts w:ascii="宋体" w:hAnsi="宋体" w:eastAsia="宋体" w:cs="Times New Roman"/>
                <w:color w:val="000000" w:themeColor="text1"/>
                <w:sz w:val="28"/>
                <w:szCs w:val="28"/>
                <w14:textFill>
                  <w14:solidFill>
                    <w14:schemeClr w14:val="tx1"/>
                  </w14:solidFill>
                </w14:textFill>
              </w:rPr>
              <w:t>：年产</w:t>
            </w:r>
            <w:r>
              <w:rPr>
                <w:rFonts w:ascii="Times New Roman" w:hAnsi="Times New Roman" w:eastAsia="宋体" w:cs="Times New Roman"/>
                <w:color w:val="000000" w:themeColor="text1"/>
                <w:sz w:val="28"/>
                <w:szCs w:val="28"/>
                <w14:textFill>
                  <w14:solidFill>
                    <w14:schemeClr w14:val="tx1"/>
                  </w14:solidFill>
                </w14:textFill>
              </w:rPr>
              <w:t>4000</w:t>
            </w:r>
            <w:r>
              <w:rPr>
                <w:rFonts w:ascii="宋体" w:hAnsi="宋体" w:eastAsia="宋体" w:cs="Times New Roman"/>
                <w:color w:val="000000" w:themeColor="text1"/>
                <w:sz w:val="28"/>
                <w:szCs w:val="28"/>
                <w14:textFill>
                  <w14:solidFill>
                    <w14:schemeClr w14:val="tx1"/>
                  </w14:solidFill>
                </w14:textFill>
              </w:rPr>
              <w:t>吨汽车紧固件项目、年产</w:t>
            </w:r>
            <w:r>
              <w:rPr>
                <w:rFonts w:ascii="Times New Roman" w:hAnsi="Times New Roman" w:eastAsia="宋体" w:cs="Times New Roman"/>
                <w:color w:val="000000" w:themeColor="text1"/>
                <w:sz w:val="28"/>
                <w:szCs w:val="28"/>
                <w14:textFill>
                  <w14:solidFill>
                    <w14:schemeClr w14:val="tx1"/>
                  </w14:solidFill>
                </w14:textFill>
              </w:rPr>
              <w:t>4800</w:t>
            </w:r>
            <w:r>
              <w:rPr>
                <w:rFonts w:ascii="宋体" w:hAnsi="宋体" w:eastAsia="宋体" w:cs="Times New Roman"/>
                <w:color w:val="000000" w:themeColor="text1"/>
                <w:sz w:val="28"/>
                <w:szCs w:val="28"/>
                <w14:textFill>
                  <w14:solidFill>
                    <w14:schemeClr w14:val="tx1"/>
                  </w14:solidFill>
                </w14:textFill>
              </w:rPr>
              <w:t>吨铆螺母紧固件项目、汽车零部件智能装备产业应园项目、新能源汽车系列轴承智能制造产业化项目、替代进口新能源汽车高端轴承产业化项目、新能源汽车高端替代进口产业集聚项目、新能源汽车电动助力转向用高端系列轴承开发项目</w:t>
            </w:r>
            <w:r>
              <w:rPr>
                <w:rFonts w:hint="eastAsia" w:ascii="宋体" w:hAnsi="宋体" w:eastAsia="宋体" w:cs="Times New Roman"/>
                <w:color w:val="000000" w:themeColor="text1"/>
                <w:sz w:val="28"/>
                <w:szCs w:val="28"/>
                <w14:textFill>
                  <w14:solidFill>
                    <w14:schemeClr w14:val="tx1"/>
                  </w14:solidFill>
                </w14:textFill>
              </w:rPr>
              <w:t>。</w:t>
            </w:r>
          </w:p>
          <w:p w14:paraId="43347230">
            <w:pPr>
              <w:spacing w:line="500" w:lineRule="exact"/>
              <w:rPr>
                <w:rFonts w:ascii="Times New Roman" w:hAnsi="Times New Roman" w:eastAsia="仿宋_GB2312" w:cs="Times New Roman"/>
                <w:color w:val="000000" w:themeColor="text1"/>
                <w:sz w:val="28"/>
                <w:szCs w:val="28"/>
                <w14:textFill>
                  <w14:solidFill>
                    <w14:schemeClr w14:val="tx1"/>
                  </w14:solidFill>
                </w14:textFill>
              </w:rPr>
            </w:pPr>
            <w:r>
              <w:rPr>
                <w:rFonts w:ascii="宋体" w:hAnsi="宋体" w:eastAsia="宋体" w:cs="Times New Roman"/>
                <w:b/>
                <w:bCs/>
                <w:color w:val="000000" w:themeColor="text1"/>
                <w:sz w:val="28"/>
                <w:szCs w:val="28"/>
                <w14:textFill>
                  <w14:solidFill>
                    <w14:schemeClr w14:val="tx1"/>
                  </w14:solidFill>
                </w14:textFill>
              </w:rPr>
              <w:t>电池、电机、电控和汽车电子项目</w:t>
            </w:r>
            <w:r>
              <w:rPr>
                <w:rFonts w:ascii="宋体" w:hAnsi="宋体" w:eastAsia="宋体" w:cs="Times New Roman"/>
                <w:color w:val="000000" w:themeColor="text1"/>
                <w:sz w:val="28"/>
                <w:szCs w:val="28"/>
                <w14:textFill>
                  <w14:solidFill>
                    <w14:schemeClr w14:val="tx1"/>
                  </w14:solidFill>
                </w14:textFill>
              </w:rPr>
              <w:t>：珈伟新能类固态锂电池项目、开关磁阻电机在新能源领域（电动车）应用的产业化项目</w:t>
            </w:r>
            <w:r>
              <w:rPr>
                <w:rFonts w:hint="eastAsia" w:ascii="宋体" w:hAnsi="宋体" w:eastAsia="宋体" w:cs="Times New Roman"/>
                <w:color w:val="000000" w:themeColor="text1"/>
                <w:sz w:val="28"/>
                <w:szCs w:val="28"/>
                <w14:textFill>
                  <w14:solidFill>
                    <w14:schemeClr w14:val="tx1"/>
                  </w14:solidFill>
                </w14:textFill>
              </w:rPr>
              <w:t>。</w:t>
            </w:r>
          </w:p>
        </w:tc>
      </w:tr>
    </w:tbl>
    <w:p w14:paraId="06B9A513">
      <w:pPr>
        <w:spacing w:before="312" w:beforeLines="100" w:line="400" w:lineRule="exact"/>
        <w:jc w:val="center"/>
        <w:rPr>
          <w:rFonts w:ascii="方正小标宋简体" w:hAnsi="Times New Roman" w:eastAsia="方正小标宋简体" w:cs="Times New Roman"/>
          <w:bCs/>
          <w:color w:val="000000" w:themeColor="text1"/>
          <w:sz w:val="32"/>
          <w:szCs w:val="32"/>
          <w14:textFill>
            <w14:solidFill>
              <w14:schemeClr w14:val="tx1"/>
            </w14:solidFill>
          </w14:textFill>
        </w:rPr>
      </w:pPr>
      <w:r>
        <w:rPr>
          <w:rFonts w:ascii="方正小标宋简体" w:hAnsi="Times New Roman" w:eastAsia="方正小标宋简体" w:cs="Times New Roman"/>
          <w:bCs/>
          <w:color w:val="000000" w:themeColor="text1"/>
          <w:sz w:val="32"/>
          <w:szCs w:val="32"/>
          <w14:textFill>
            <w14:solidFill>
              <w14:schemeClr w14:val="tx1"/>
            </w14:solidFill>
          </w14:textFill>
        </w:rPr>
        <w:t>表</w:t>
      </w:r>
      <w:r>
        <w:rPr>
          <w:rFonts w:ascii="Times New Roman" w:hAnsi="Times New Roman" w:eastAsia="方正小标宋简体" w:cs="Times New Roman"/>
          <w:bCs/>
          <w:color w:val="000000" w:themeColor="text1"/>
          <w:sz w:val="32"/>
          <w:szCs w:val="32"/>
          <w14:textFill>
            <w14:solidFill>
              <w14:schemeClr w14:val="tx1"/>
            </w14:solidFill>
          </w14:textFill>
        </w:rPr>
        <w:t>4</w:t>
      </w:r>
      <w:r>
        <w:rPr>
          <w:rFonts w:ascii="方正小标宋简体" w:hAnsi="Times New Roman" w:eastAsia="方正小标宋简体" w:cs="Times New Roman"/>
          <w:bCs/>
          <w:color w:val="000000" w:themeColor="text1"/>
          <w:sz w:val="32"/>
          <w:szCs w:val="32"/>
          <w14:textFill>
            <w14:solidFill>
              <w14:schemeClr w14:val="tx1"/>
            </w14:solidFill>
          </w14:textFill>
        </w:rPr>
        <w:t xml:space="preserve"> 新能源汽车及零部件产业链招商目标企业库</w:t>
      </w:r>
    </w:p>
    <w:tbl>
      <w:tblPr>
        <w:tblStyle w:val="14"/>
        <w:tblW w:w="496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094"/>
        <w:gridCol w:w="4955"/>
        <w:gridCol w:w="1944"/>
      </w:tblGrid>
      <w:tr w14:paraId="652083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4" w:hRule="atLeast"/>
          <w:tblHeader/>
          <w:jc w:val="center"/>
        </w:trPr>
        <w:tc>
          <w:tcPr>
            <w:tcW w:w="1164" w:type="pct"/>
            <w:shd w:val="clear" w:color="auto" w:fill="auto"/>
            <w:vAlign w:val="center"/>
          </w:tcPr>
          <w:p w14:paraId="1AFE822D">
            <w:pPr>
              <w:jc w:val="center"/>
              <w:rPr>
                <w:rFonts w:ascii="Times New Roman" w:hAnsi="Times New Roman" w:eastAsia="黑体" w:cs="Times New Roman"/>
                <w:bCs/>
                <w:color w:val="000000" w:themeColor="text1"/>
                <w:sz w:val="24"/>
                <w:szCs w:val="24"/>
                <w14:textFill>
                  <w14:solidFill>
                    <w14:schemeClr w14:val="tx1"/>
                  </w14:solidFill>
                </w14:textFill>
              </w:rPr>
            </w:pPr>
            <w:r>
              <w:rPr>
                <w:rFonts w:ascii="Times New Roman" w:hAnsi="Times New Roman" w:eastAsia="黑体" w:cs="Times New Roman"/>
                <w:bCs/>
                <w:color w:val="000000" w:themeColor="text1"/>
                <w:sz w:val="24"/>
                <w:szCs w:val="24"/>
                <w14:textFill>
                  <w14:solidFill>
                    <w14:schemeClr w14:val="tx1"/>
                  </w14:solidFill>
                </w14:textFill>
              </w:rPr>
              <w:t>企业名称</w:t>
            </w:r>
          </w:p>
        </w:tc>
        <w:tc>
          <w:tcPr>
            <w:tcW w:w="2755" w:type="pct"/>
            <w:shd w:val="clear" w:color="auto" w:fill="auto"/>
            <w:vAlign w:val="center"/>
          </w:tcPr>
          <w:p w14:paraId="30D4BBA2">
            <w:pPr>
              <w:jc w:val="center"/>
              <w:rPr>
                <w:rFonts w:ascii="Times New Roman" w:hAnsi="Times New Roman" w:eastAsia="黑体" w:cs="Times New Roman"/>
                <w:bCs/>
                <w:color w:val="000000" w:themeColor="text1"/>
                <w:sz w:val="24"/>
                <w:szCs w:val="24"/>
                <w14:textFill>
                  <w14:solidFill>
                    <w14:schemeClr w14:val="tx1"/>
                  </w14:solidFill>
                </w14:textFill>
              </w:rPr>
            </w:pPr>
            <w:r>
              <w:rPr>
                <w:rFonts w:ascii="Times New Roman" w:hAnsi="Times New Roman" w:eastAsia="黑体" w:cs="Times New Roman"/>
                <w:bCs/>
                <w:color w:val="000000" w:themeColor="text1"/>
                <w:sz w:val="24"/>
                <w:szCs w:val="24"/>
                <w14:textFill>
                  <w14:solidFill>
                    <w14:schemeClr w14:val="tx1"/>
                  </w14:solidFill>
                </w14:textFill>
              </w:rPr>
              <w:t>主营业务范围</w:t>
            </w:r>
          </w:p>
        </w:tc>
        <w:tc>
          <w:tcPr>
            <w:tcW w:w="1081" w:type="pct"/>
            <w:shd w:val="clear" w:color="auto" w:fill="auto"/>
            <w:vAlign w:val="center"/>
          </w:tcPr>
          <w:p w14:paraId="4A23A3B0">
            <w:pPr>
              <w:jc w:val="center"/>
              <w:rPr>
                <w:rFonts w:ascii="Times New Roman" w:hAnsi="Times New Roman" w:eastAsia="黑体" w:cs="Times New Roman"/>
                <w:bCs/>
                <w:color w:val="000000" w:themeColor="text1"/>
                <w:sz w:val="24"/>
                <w:szCs w:val="24"/>
                <w14:textFill>
                  <w14:solidFill>
                    <w14:schemeClr w14:val="tx1"/>
                  </w14:solidFill>
                </w14:textFill>
              </w:rPr>
            </w:pPr>
            <w:r>
              <w:rPr>
                <w:rFonts w:ascii="Times New Roman" w:hAnsi="Times New Roman" w:eastAsia="黑体" w:cs="Times New Roman"/>
                <w:bCs/>
                <w:color w:val="000000" w:themeColor="text1"/>
                <w:sz w:val="24"/>
                <w:szCs w:val="24"/>
                <w14:textFill>
                  <w14:solidFill>
                    <w14:schemeClr w14:val="tx1"/>
                  </w14:solidFill>
                </w14:textFill>
              </w:rPr>
              <w:t>引进方向</w:t>
            </w:r>
          </w:p>
          <w:p w14:paraId="6C2F1409">
            <w:pPr>
              <w:jc w:val="center"/>
              <w:rPr>
                <w:rFonts w:ascii="Times New Roman" w:hAnsi="Times New Roman" w:eastAsia="黑体" w:cs="Times New Roman"/>
                <w:bCs/>
                <w:color w:val="000000" w:themeColor="text1"/>
                <w:spacing w:val="-10"/>
                <w:sz w:val="24"/>
                <w:szCs w:val="24"/>
                <w14:textFill>
                  <w14:solidFill>
                    <w14:schemeClr w14:val="tx1"/>
                  </w14:solidFill>
                </w14:textFill>
              </w:rPr>
            </w:pPr>
            <w:r>
              <w:rPr>
                <w:rFonts w:ascii="Times New Roman" w:hAnsi="Times New Roman" w:eastAsia="黑体" w:cs="Times New Roman"/>
                <w:bCs/>
                <w:color w:val="000000" w:themeColor="text1"/>
                <w:spacing w:val="-10"/>
                <w:sz w:val="24"/>
                <w:szCs w:val="24"/>
                <w14:textFill>
                  <w14:solidFill>
                    <w14:schemeClr w14:val="tx1"/>
                  </w14:solidFill>
                </w14:textFill>
              </w:rPr>
              <w:t>（强链延链补链）</w:t>
            </w:r>
          </w:p>
        </w:tc>
      </w:tr>
      <w:tr w14:paraId="16ECA0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64" w:type="pct"/>
            <w:shd w:val="clear" w:color="auto" w:fill="auto"/>
            <w:vAlign w:val="center"/>
          </w:tcPr>
          <w:p w14:paraId="2B608982">
            <w:pPr>
              <w:spacing w:line="400" w:lineRule="exact"/>
              <w:jc w:val="center"/>
              <w:rPr>
                <w:rFonts w:ascii="宋体" w:hAnsi="宋体" w:eastAsia="宋体" w:cs="Times New Roman"/>
                <w:sz w:val="24"/>
                <w:szCs w:val="24"/>
              </w:rPr>
            </w:pPr>
            <w:r>
              <w:rPr>
                <w:rFonts w:ascii="宋体" w:hAnsi="宋体" w:eastAsia="宋体" w:cs="Times New Roman"/>
                <w:sz w:val="24"/>
                <w:szCs w:val="24"/>
              </w:rPr>
              <w:t>浙江通力重型齿轮股份有限公司</w:t>
            </w:r>
          </w:p>
        </w:tc>
        <w:tc>
          <w:tcPr>
            <w:tcW w:w="2755" w:type="pct"/>
            <w:shd w:val="clear" w:color="auto" w:fill="auto"/>
            <w:vAlign w:val="center"/>
          </w:tcPr>
          <w:p w14:paraId="3187FDD2">
            <w:pPr>
              <w:spacing w:line="400" w:lineRule="exact"/>
              <w:rPr>
                <w:rFonts w:ascii="宋体" w:hAnsi="宋体" w:eastAsia="宋体" w:cs="Times New Roman"/>
                <w:sz w:val="24"/>
                <w:szCs w:val="24"/>
              </w:rPr>
            </w:pPr>
            <w:r>
              <w:rPr>
                <w:rFonts w:ascii="宋体" w:hAnsi="宋体" w:eastAsia="宋体" w:cs="Times New Roman"/>
                <w:sz w:val="24"/>
                <w:szCs w:val="24"/>
              </w:rPr>
              <w:t>通用减速机</w:t>
            </w:r>
          </w:p>
        </w:tc>
        <w:tc>
          <w:tcPr>
            <w:tcW w:w="1081" w:type="pct"/>
            <w:shd w:val="clear" w:color="auto" w:fill="auto"/>
            <w:vAlign w:val="center"/>
          </w:tcPr>
          <w:p w14:paraId="4921209A">
            <w:pPr>
              <w:spacing w:line="400" w:lineRule="exact"/>
              <w:rPr>
                <w:rFonts w:ascii="宋体" w:hAnsi="宋体" w:eastAsia="宋体" w:cs="Times New Roman"/>
                <w:sz w:val="24"/>
                <w:szCs w:val="24"/>
              </w:rPr>
            </w:pPr>
            <w:r>
              <w:rPr>
                <w:rFonts w:ascii="宋体" w:hAnsi="宋体" w:eastAsia="宋体" w:cs="Times New Roman"/>
                <w:sz w:val="24"/>
                <w:szCs w:val="24"/>
              </w:rPr>
              <w:t>延链：汽车齿轮、减速器</w:t>
            </w:r>
          </w:p>
        </w:tc>
      </w:tr>
      <w:tr w14:paraId="6C9169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1164" w:type="pct"/>
            <w:shd w:val="clear" w:color="auto" w:fill="auto"/>
            <w:vAlign w:val="center"/>
          </w:tcPr>
          <w:p w14:paraId="6FECD489">
            <w:pPr>
              <w:spacing w:line="400" w:lineRule="exact"/>
              <w:jc w:val="center"/>
              <w:rPr>
                <w:rFonts w:ascii="宋体" w:hAnsi="宋体" w:eastAsia="宋体" w:cs="Times New Roman"/>
                <w:sz w:val="24"/>
                <w:szCs w:val="24"/>
              </w:rPr>
            </w:pPr>
            <w:r>
              <w:rPr>
                <w:rFonts w:ascii="宋体" w:hAnsi="宋体" w:eastAsia="宋体" w:cs="Times New Roman"/>
                <w:sz w:val="24"/>
                <w:szCs w:val="24"/>
              </w:rPr>
              <w:t>南京天河汽车零</w:t>
            </w:r>
          </w:p>
          <w:p w14:paraId="0ED3E97E">
            <w:pPr>
              <w:spacing w:line="400" w:lineRule="exact"/>
              <w:jc w:val="center"/>
              <w:rPr>
                <w:rFonts w:ascii="宋体" w:hAnsi="宋体" w:eastAsia="宋体" w:cs="Times New Roman"/>
                <w:spacing w:val="-8"/>
                <w:sz w:val="24"/>
                <w:szCs w:val="24"/>
              </w:rPr>
            </w:pPr>
            <w:r>
              <w:rPr>
                <w:rFonts w:ascii="宋体" w:hAnsi="宋体" w:eastAsia="宋体" w:cs="Times New Roman"/>
                <w:spacing w:val="-8"/>
                <w:sz w:val="24"/>
                <w:szCs w:val="24"/>
              </w:rPr>
              <w:t>部件股份有限公司</w:t>
            </w:r>
          </w:p>
        </w:tc>
        <w:tc>
          <w:tcPr>
            <w:tcW w:w="2755" w:type="pct"/>
            <w:shd w:val="clear" w:color="auto" w:fill="auto"/>
            <w:vAlign w:val="center"/>
          </w:tcPr>
          <w:p w14:paraId="72B14376">
            <w:pPr>
              <w:spacing w:line="400" w:lineRule="exact"/>
              <w:rPr>
                <w:rFonts w:ascii="宋体" w:hAnsi="宋体" w:eastAsia="宋体" w:cs="Times New Roman"/>
                <w:sz w:val="24"/>
                <w:szCs w:val="24"/>
              </w:rPr>
            </w:pPr>
            <w:r>
              <w:rPr>
                <w:rFonts w:ascii="宋体" w:hAnsi="宋体" w:eastAsia="宋体" w:cs="Times New Roman"/>
                <w:sz w:val="24"/>
                <w:szCs w:val="24"/>
              </w:rPr>
              <w:t>业务为汽车零部件的研发、生产与销售，主要产品为汽车冲压件、冲压焊接件</w:t>
            </w:r>
          </w:p>
        </w:tc>
        <w:tc>
          <w:tcPr>
            <w:tcW w:w="1081" w:type="pct"/>
            <w:shd w:val="clear" w:color="auto" w:fill="auto"/>
            <w:vAlign w:val="center"/>
          </w:tcPr>
          <w:p w14:paraId="15760B05">
            <w:pPr>
              <w:spacing w:line="400" w:lineRule="exact"/>
              <w:rPr>
                <w:rFonts w:ascii="宋体" w:hAnsi="宋体" w:eastAsia="宋体" w:cs="Times New Roman"/>
                <w:sz w:val="24"/>
                <w:szCs w:val="24"/>
              </w:rPr>
            </w:pPr>
            <w:r>
              <w:rPr>
                <w:rFonts w:ascii="宋体" w:hAnsi="宋体" w:eastAsia="宋体" w:cs="Times New Roman"/>
                <w:spacing w:val="-8"/>
                <w:sz w:val="24"/>
                <w:szCs w:val="24"/>
              </w:rPr>
              <w:t>强链：汽车零部件</w:t>
            </w:r>
          </w:p>
        </w:tc>
      </w:tr>
      <w:tr w14:paraId="4B4EE2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5" w:hRule="atLeast"/>
          <w:jc w:val="center"/>
        </w:trPr>
        <w:tc>
          <w:tcPr>
            <w:tcW w:w="1164" w:type="pct"/>
            <w:shd w:val="clear" w:color="auto" w:fill="auto"/>
            <w:vAlign w:val="center"/>
          </w:tcPr>
          <w:p w14:paraId="553708C2">
            <w:pPr>
              <w:spacing w:line="400" w:lineRule="exact"/>
              <w:jc w:val="center"/>
              <w:rPr>
                <w:rFonts w:ascii="宋体" w:hAnsi="宋体" w:eastAsia="宋体" w:cs="Times New Roman"/>
                <w:sz w:val="24"/>
                <w:szCs w:val="24"/>
              </w:rPr>
            </w:pPr>
            <w:r>
              <w:rPr>
                <w:rFonts w:ascii="宋体" w:hAnsi="宋体" w:eastAsia="宋体" w:cs="Times New Roman"/>
                <w:sz w:val="24"/>
                <w:szCs w:val="24"/>
              </w:rPr>
              <w:t>山东汇锋传动</w:t>
            </w:r>
          </w:p>
          <w:p w14:paraId="2192C7AA">
            <w:pPr>
              <w:spacing w:line="400" w:lineRule="exact"/>
              <w:jc w:val="center"/>
              <w:rPr>
                <w:rFonts w:ascii="宋体" w:hAnsi="宋体" w:eastAsia="宋体" w:cs="Times New Roman"/>
                <w:sz w:val="24"/>
                <w:szCs w:val="24"/>
              </w:rPr>
            </w:pPr>
            <w:r>
              <w:rPr>
                <w:rFonts w:ascii="宋体" w:hAnsi="宋体" w:eastAsia="宋体" w:cs="Times New Roman"/>
                <w:sz w:val="24"/>
                <w:szCs w:val="24"/>
              </w:rPr>
              <w:t>股份有限公司</w:t>
            </w:r>
          </w:p>
        </w:tc>
        <w:tc>
          <w:tcPr>
            <w:tcW w:w="2755" w:type="pct"/>
            <w:shd w:val="clear" w:color="auto" w:fill="auto"/>
            <w:vAlign w:val="center"/>
          </w:tcPr>
          <w:p w14:paraId="1702813A">
            <w:pPr>
              <w:spacing w:line="400" w:lineRule="exact"/>
              <w:rPr>
                <w:rFonts w:ascii="宋体" w:hAnsi="宋体" w:eastAsia="宋体" w:cs="Times New Roman"/>
                <w:sz w:val="24"/>
                <w:szCs w:val="24"/>
              </w:rPr>
            </w:pPr>
            <w:r>
              <w:rPr>
                <w:rFonts w:ascii="宋体" w:hAnsi="宋体" w:eastAsia="宋体" w:cs="Times New Roman"/>
                <w:sz w:val="24"/>
                <w:szCs w:val="24"/>
              </w:rPr>
              <w:t>主营业务为汽车齿轮轴、驱动桥主减速器主动、从动螺旋锥齿轮等汽车及工程机械零部件的研发、生产和销售，公司主要产品分为齿轮轴、凸轮轴、半轴、螺旋锥齿轮、变速箱齿轮、发动机连杆、转向节、传动齿轮轴等</w:t>
            </w:r>
          </w:p>
        </w:tc>
        <w:tc>
          <w:tcPr>
            <w:tcW w:w="1081" w:type="pct"/>
            <w:shd w:val="clear" w:color="auto" w:fill="auto"/>
            <w:vAlign w:val="center"/>
          </w:tcPr>
          <w:p w14:paraId="562457F3">
            <w:pPr>
              <w:spacing w:line="400" w:lineRule="exact"/>
              <w:rPr>
                <w:rFonts w:ascii="宋体" w:hAnsi="宋体" w:eastAsia="宋体" w:cs="Times New Roman"/>
                <w:spacing w:val="-8"/>
                <w:sz w:val="24"/>
                <w:szCs w:val="24"/>
              </w:rPr>
            </w:pPr>
            <w:r>
              <w:rPr>
                <w:rFonts w:ascii="宋体" w:hAnsi="宋体" w:eastAsia="宋体" w:cs="Times New Roman"/>
                <w:spacing w:val="-8"/>
                <w:sz w:val="24"/>
                <w:szCs w:val="24"/>
              </w:rPr>
              <w:t>强链：汽车零部件</w:t>
            </w:r>
          </w:p>
        </w:tc>
      </w:tr>
      <w:tr w14:paraId="65A798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1164" w:type="pct"/>
            <w:shd w:val="clear" w:color="auto" w:fill="auto"/>
            <w:vAlign w:val="center"/>
          </w:tcPr>
          <w:p w14:paraId="355BE35F">
            <w:pPr>
              <w:spacing w:line="400" w:lineRule="exact"/>
              <w:jc w:val="center"/>
              <w:rPr>
                <w:rFonts w:ascii="宋体" w:hAnsi="宋体" w:eastAsia="宋体" w:cs="Times New Roman"/>
                <w:sz w:val="24"/>
                <w:szCs w:val="24"/>
              </w:rPr>
            </w:pPr>
            <w:r>
              <w:rPr>
                <w:rFonts w:ascii="宋体" w:hAnsi="宋体" w:eastAsia="宋体" w:cs="Times New Roman"/>
                <w:sz w:val="24"/>
                <w:szCs w:val="24"/>
              </w:rPr>
              <w:t>上海电气集团</w:t>
            </w:r>
          </w:p>
          <w:p w14:paraId="2C620D1B">
            <w:pPr>
              <w:spacing w:line="400" w:lineRule="exact"/>
              <w:jc w:val="center"/>
              <w:rPr>
                <w:rFonts w:ascii="宋体" w:hAnsi="宋体" w:eastAsia="宋体" w:cs="Times New Roman"/>
                <w:sz w:val="24"/>
                <w:szCs w:val="24"/>
              </w:rPr>
            </w:pPr>
            <w:r>
              <w:rPr>
                <w:rFonts w:ascii="宋体" w:hAnsi="宋体" w:eastAsia="宋体" w:cs="Times New Roman"/>
                <w:sz w:val="24"/>
                <w:szCs w:val="24"/>
              </w:rPr>
              <w:t>股份有限公司</w:t>
            </w:r>
          </w:p>
        </w:tc>
        <w:tc>
          <w:tcPr>
            <w:tcW w:w="2755" w:type="pct"/>
            <w:shd w:val="clear" w:color="auto" w:fill="auto"/>
            <w:vAlign w:val="center"/>
          </w:tcPr>
          <w:p w14:paraId="489D8FF6">
            <w:pPr>
              <w:spacing w:line="400" w:lineRule="exact"/>
              <w:rPr>
                <w:rFonts w:ascii="宋体" w:hAnsi="宋体" w:eastAsia="宋体" w:cs="Times New Roman"/>
                <w:sz w:val="24"/>
                <w:szCs w:val="24"/>
              </w:rPr>
            </w:pPr>
            <w:r>
              <w:rPr>
                <w:rFonts w:ascii="宋体" w:hAnsi="宋体" w:eastAsia="宋体" w:cs="Times New Roman"/>
                <w:sz w:val="24"/>
                <w:szCs w:val="24"/>
              </w:rPr>
              <w:t>已成功开发出具有完全自主知识产权的燃料电池发动机系统、电堆及膜电极技术和产品，</w:t>
            </w:r>
            <w:r>
              <w:rPr>
                <w:rFonts w:ascii="宋体" w:hAnsi="宋体" w:eastAsia="宋体" w:cs="Times New Roman"/>
                <w:spacing w:val="-8"/>
                <w:sz w:val="24"/>
                <w:szCs w:val="24"/>
              </w:rPr>
              <w:t>并推出第一代燃料电池发动机系统</w:t>
            </w:r>
            <w:r>
              <w:rPr>
                <w:rFonts w:ascii="Times New Roman" w:hAnsi="Times New Roman" w:eastAsia="宋体" w:cs="Times New Roman"/>
                <w:spacing w:val="-8"/>
                <w:sz w:val="24"/>
                <w:szCs w:val="24"/>
              </w:rPr>
              <w:t>HEnV</w:t>
            </w:r>
            <w:r>
              <w:rPr>
                <w:rFonts w:hint="eastAsia" w:ascii="宋体" w:hAnsi="宋体" w:eastAsia="宋体" w:cs="Times New Roman"/>
                <w:spacing w:val="-8"/>
                <w:sz w:val="24"/>
                <w:szCs w:val="24"/>
              </w:rPr>
              <w:t>－</w:t>
            </w:r>
            <w:r>
              <w:rPr>
                <w:rFonts w:ascii="Times New Roman" w:hAnsi="Times New Roman" w:eastAsia="宋体" w:cs="Times New Roman"/>
                <w:spacing w:val="-8"/>
                <w:sz w:val="24"/>
                <w:szCs w:val="24"/>
              </w:rPr>
              <w:t>30</w:t>
            </w:r>
            <w:r>
              <w:rPr>
                <w:rFonts w:ascii="宋体" w:hAnsi="宋体" w:eastAsia="宋体" w:cs="Times New Roman"/>
                <w:sz w:val="24"/>
                <w:szCs w:val="24"/>
              </w:rPr>
              <w:t>。</w:t>
            </w:r>
          </w:p>
        </w:tc>
        <w:tc>
          <w:tcPr>
            <w:tcW w:w="1081" w:type="pct"/>
            <w:shd w:val="clear" w:color="auto" w:fill="auto"/>
            <w:vAlign w:val="center"/>
          </w:tcPr>
          <w:p w14:paraId="5FA8B153">
            <w:pPr>
              <w:spacing w:line="400" w:lineRule="exact"/>
              <w:rPr>
                <w:rFonts w:ascii="宋体" w:hAnsi="宋体" w:eastAsia="宋体" w:cs="Times New Roman"/>
                <w:sz w:val="24"/>
                <w:szCs w:val="24"/>
              </w:rPr>
            </w:pPr>
            <w:r>
              <w:rPr>
                <w:rFonts w:ascii="宋体" w:hAnsi="宋体" w:eastAsia="宋体" w:cs="Times New Roman"/>
                <w:sz w:val="24"/>
                <w:szCs w:val="24"/>
              </w:rPr>
              <w:t>补链：燃料电池</w:t>
            </w:r>
          </w:p>
        </w:tc>
      </w:tr>
      <w:tr w14:paraId="4C7948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97" w:hRule="atLeast"/>
          <w:jc w:val="center"/>
        </w:trPr>
        <w:tc>
          <w:tcPr>
            <w:tcW w:w="1164" w:type="pct"/>
            <w:shd w:val="clear" w:color="auto" w:fill="auto"/>
            <w:vAlign w:val="center"/>
          </w:tcPr>
          <w:p w14:paraId="119B4B40">
            <w:pPr>
              <w:spacing w:line="400" w:lineRule="exact"/>
              <w:jc w:val="center"/>
              <w:rPr>
                <w:rFonts w:ascii="宋体" w:hAnsi="宋体" w:eastAsia="宋体" w:cs="Times New Roman"/>
                <w:sz w:val="24"/>
                <w:szCs w:val="24"/>
              </w:rPr>
            </w:pPr>
            <w:r>
              <w:rPr>
                <w:rFonts w:ascii="宋体" w:hAnsi="宋体" w:eastAsia="宋体" w:cs="Times New Roman"/>
                <w:sz w:val="24"/>
                <w:szCs w:val="24"/>
              </w:rPr>
              <w:t>宁波韵升股份</w:t>
            </w:r>
          </w:p>
          <w:p w14:paraId="69979D19">
            <w:pPr>
              <w:spacing w:line="400" w:lineRule="exact"/>
              <w:jc w:val="center"/>
              <w:rPr>
                <w:rFonts w:ascii="宋体" w:hAnsi="宋体" w:eastAsia="宋体" w:cs="Times New Roman"/>
                <w:sz w:val="24"/>
                <w:szCs w:val="24"/>
              </w:rPr>
            </w:pPr>
            <w:r>
              <w:rPr>
                <w:rFonts w:ascii="宋体" w:hAnsi="宋体" w:eastAsia="宋体" w:cs="Times New Roman"/>
                <w:sz w:val="24"/>
                <w:szCs w:val="24"/>
              </w:rPr>
              <w:t>有限公司</w:t>
            </w:r>
          </w:p>
        </w:tc>
        <w:tc>
          <w:tcPr>
            <w:tcW w:w="2755" w:type="pct"/>
            <w:shd w:val="clear" w:color="auto" w:fill="auto"/>
            <w:vAlign w:val="center"/>
          </w:tcPr>
          <w:p w14:paraId="7872B9E5">
            <w:pPr>
              <w:spacing w:line="400" w:lineRule="exact"/>
              <w:rPr>
                <w:rFonts w:ascii="宋体" w:hAnsi="宋体" w:eastAsia="宋体" w:cs="Times New Roman"/>
                <w:sz w:val="24"/>
                <w:szCs w:val="24"/>
              </w:rPr>
            </w:pPr>
            <w:r>
              <w:rPr>
                <w:rFonts w:ascii="宋体" w:hAnsi="宋体" w:eastAsia="宋体" w:cs="Times New Roman"/>
                <w:sz w:val="24"/>
                <w:szCs w:val="24"/>
              </w:rPr>
              <w:t>利用开发磁性材料的优势主攻汽车电机产品，公司参股的上海电驱动有限公司专门从事新能源汽车用电机系统研发和生产</w:t>
            </w:r>
          </w:p>
        </w:tc>
        <w:tc>
          <w:tcPr>
            <w:tcW w:w="1081" w:type="pct"/>
            <w:shd w:val="clear" w:color="auto" w:fill="auto"/>
            <w:vAlign w:val="center"/>
          </w:tcPr>
          <w:p w14:paraId="64528305">
            <w:pPr>
              <w:spacing w:line="400" w:lineRule="exact"/>
              <w:rPr>
                <w:rFonts w:ascii="宋体" w:hAnsi="宋体" w:eastAsia="宋体" w:cs="Times New Roman"/>
                <w:sz w:val="24"/>
                <w:szCs w:val="24"/>
              </w:rPr>
            </w:pPr>
            <w:r>
              <w:rPr>
                <w:rFonts w:ascii="宋体" w:hAnsi="宋体" w:eastAsia="宋体" w:cs="Times New Roman"/>
                <w:spacing w:val="-8"/>
                <w:sz w:val="24"/>
                <w:szCs w:val="24"/>
              </w:rPr>
              <w:t>补链：新能源电机</w:t>
            </w:r>
          </w:p>
        </w:tc>
      </w:tr>
      <w:tr w14:paraId="296278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164" w:type="pct"/>
            <w:shd w:val="clear" w:color="auto" w:fill="auto"/>
            <w:vAlign w:val="center"/>
          </w:tcPr>
          <w:p w14:paraId="63D8C5D6">
            <w:pPr>
              <w:spacing w:line="400" w:lineRule="exact"/>
              <w:jc w:val="center"/>
              <w:rPr>
                <w:rFonts w:ascii="宋体" w:hAnsi="宋体" w:eastAsia="宋体" w:cs="Times New Roman"/>
                <w:sz w:val="24"/>
                <w:szCs w:val="24"/>
              </w:rPr>
            </w:pPr>
            <w:r>
              <w:rPr>
                <w:rFonts w:ascii="宋体" w:hAnsi="宋体" w:eastAsia="宋体" w:cs="Times New Roman"/>
                <w:sz w:val="24"/>
                <w:szCs w:val="24"/>
              </w:rPr>
              <w:t>上海大郡动力控制技术有限公司</w:t>
            </w:r>
          </w:p>
        </w:tc>
        <w:tc>
          <w:tcPr>
            <w:tcW w:w="2755" w:type="pct"/>
            <w:shd w:val="clear" w:color="auto" w:fill="auto"/>
            <w:vAlign w:val="center"/>
          </w:tcPr>
          <w:p w14:paraId="0E2A7E3C">
            <w:pPr>
              <w:spacing w:line="400" w:lineRule="exact"/>
              <w:rPr>
                <w:rFonts w:ascii="宋体" w:hAnsi="宋体" w:eastAsia="宋体" w:cs="Times New Roman"/>
                <w:sz w:val="24"/>
                <w:szCs w:val="24"/>
              </w:rPr>
            </w:pPr>
            <w:r>
              <w:rPr>
                <w:rFonts w:ascii="宋体" w:hAnsi="宋体" w:eastAsia="宋体" w:cs="Times New Roman"/>
                <w:sz w:val="24"/>
                <w:szCs w:val="24"/>
              </w:rPr>
              <w:t>公司从事新能源汽车用电机及其控制器技术研发、制造和销售</w:t>
            </w:r>
          </w:p>
        </w:tc>
        <w:tc>
          <w:tcPr>
            <w:tcW w:w="1081" w:type="pct"/>
            <w:shd w:val="clear" w:color="auto" w:fill="auto"/>
            <w:vAlign w:val="center"/>
          </w:tcPr>
          <w:p w14:paraId="0F396EF5">
            <w:pPr>
              <w:spacing w:line="400" w:lineRule="exact"/>
              <w:rPr>
                <w:rFonts w:ascii="宋体" w:hAnsi="宋体" w:eastAsia="宋体" w:cs="Times New Roman"/>
                <w:sz w:val="24"/>
                <w:szCs w:val="24"/>
              </w:rPr>
            </w:pPr>
            <w:r>
              <w:rPr>
                <w:rFonts w:ascii="宋体" w:hAnsi="宋体" w:eastAsia="宋体" w:cs="Times New Roman"/>
                <w:sz w:val="24"/>
                <w:szCs w:val="24"/>
              </w:rPr>
              <w:t>补链：汽车电机</w:t>
            </w:r>
          </w:p>
        </w:tc>
      </w:tr>
      <w:tr w14:paraId="1C63C6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88" w:hRule="atLeast"/>
          <w:jc w:val="center"/>
        </w:trPr>
        <w:tc>
          <w:tcPr>
            <w:tcW w:w="1164" w:type="pct"/>
            <w:shd w:val="clear" w:color="auto" w:fill="auto"/>
            <w:vAlign w:val="center"/>
          </w:tcPr>
          <w:p w14:paraId="36731222">
            <w:pPr>
              <w:spacing w:line="400" w:lineRule="exact"/>
              <w:jc w:val="center"/>
              <w:rPr>
                <w:rFonts w:ascii="宋体" w:hAnsi="宋体" w:eastAsia="宋体" w:cs="Times New Roman"/>
                <w:sz w:val="24"/>
                <w:szCs w:val="24"/>
              </w:rPr>
            </w:pPr>
            <w:r>
              <w:rPr>
                <w:rFonts w:ascii="宋体" w:hAnsi="宋体" w:eastAsia="宋体" w:cs="Times New Roman"/>
                <w:sz w:val="24"/>
                <w:szCs w:val="24"/>
              </w:rPr>
              <w:t>深圳市蓝海华腾</w:t>
            </w:r>
          </w:p>
          <w:p w14:paraId="41B3F6F9">
            <w:pPr>
              <w:spacing w:line="400" w:lineRule="exact"/>
              <w:jc w:val="center"/>
              <w:rPr>
                <w:rFonts w:ascii="宋体" w:hAnsi="宋体" w:eastAsia="宋体" w:cs="Times New Roman"/>
                <w:spacing w:val="-8"/>
                <w:sz w:val="24"/>
                <w:szCs w:val="24"/>
              </w:rPr>
            </w:pPr>
            <w:r>
              <w:rPr>
                <w:rFonts w:ascii="宋体" w:hAnsi="宋体" w:eastAsia="宋体" w:cs="Times New Roman"/>
                <w:spacing w:val="-8"/>
                <w:sz w:val="24"/>
                <w:szCs w:val="24"/>
              </w:rPr>
              <w:t>技术股份有限公司</w:t>
            </w:r>
          </w:p>
        </w:tc>
        <w:tc>
          <w:tcPr>
            <w:tcW w:w="2755" w:type="pct"/>
            <w:shd w:val="clear" w:color="auto" w:fill="auto"/>
            <w:vAlign w:val="center"/>
          </w:tcPr>
          <w:p w14:paraId="30167976">
            <w:pPr>
              <w:spacing w:line="400" w:lineRule="exact"/>
              <w:rPr>
                <w:rFonts w:ascii="宋体" w:hAnsi="宋体" w:eastAsia="宋体" w:cs="Times New Roman"/>
                <w:sz w:val="24"/>
                <w:szCs w:val="24"/>
              </w:rPr>
            </w:pPr>
            <w:r>
              <w:rPr>
                <w:rFonts w:ascii="宋体" w:hAnsi="宋体" w:eastAsia="宋体" w:cs="Times New Roman"/>
                <w:sz w:val="24"/>
                <w:szCs w:val="24"/>
              </w:rPr>
              <w:t>从事工业自动化控制产品的研发、生产和销售，主要产品为中低压变频器、电动汽车电机控制器和伺服驱动器</w:t>
            </w:r>
          </w:p>
        </w:tc>
        <w:tc>
          <w:tcPr>
            <w:tcW w:w="1081" w:type="pct"/>
            <w:shd w:val="clear" w:color="auto" w:fill="auto"/>
            <w:vAlign w:val="center"/>
          </w:tcPr>
          <w:p w14:paraId="693E76E3">
            <w:pPr>
              <w:spacing w:line="400" w:lineRule="exact"/>
              <w:rPr>
                <w:rFonts w:ascii="宋体" w:hAnsi="宋体" w:eastAsia="宋体" w:cs="Times New Roman"/>
                <w:sz w:val="24"/>
                <w:szCs w:val="24"/>
              </w:rPr>
            </w:pPr>
            <w:r>
              <w:rPr>
                <w:rFonts w:ascii="宋体" w:hAnsi="宋体" w:eastAsia="宋体" w:cs="Times New Roman"/>
                <w:spacing w:val="-8"/>
                <w:sz w:val="24"/>
                <w:szCs w:val="24"/>
              </w:rPr>
              <w:t>补链：新能源电控</w:t>
            </w:r>
          </w:p>
        </w:tc>
      </w:tr>
    </w:tbl>
    <w:p w14:paraId="3AB73CF0">
      <w:pPr>
        <w:pStyle w:val="3"/>
        <w:rPr>
          <w:rFonts w:hint="eastAsia" w:ascii="方正楷体_GBK" w:hAnsi="方正楷体_GBK" w:eastAsia="方正楷体_GBK" w:cs="方正楷体_GBK"/>
          <w:b w:val="0"/>
          <w:bCs/>
        </w:rPr>
      </w:pPr>
      <w:bookmarkStart w:id="51" w:name="_Toc76137560"/>
      <w:bookmarkStart w:id="52" w:name="_Toc24453"/>
      <w:bookmarkStart w:id="53" w:name="_Toc76137881"/>
      <w:bookmarkStart w:id="54" w:name="_Toc76137910"/>
      <w:r>
        <w:rPr>
          <w:rFonts w:hint="eastAsia" w:ascii="方正楷体_GBK" w:hAnsi="方正楷体_GBK" w:eastAsia="方正楷体_GBK" w:cs="方正楷体_GBK"/>
          <w:b w:val="0"/>
          <w:bCs/>
        </w:rPr>
        <w:t>第三节 培育发展三大成长性产业</w:t>
      </w:r>
      <w:bookmarkEnd w:id="51"/>
      <w:bookmarkEnd w:id="52"/>
      <w:bookmarkEnd w:id="53"/>
      <w:bookmarkEnd w:id="54"/>
    </w:p>
    <w:p w14:paraId="22A995B0">
      <w:pPr>
        <w:pStyle w:val="4"/>
        <w:spacing w:before="0" w:after="0" w:line="580" w:lineRule="exact"/>
        <w:ind w:firstLine="640" w:firstLineChars="200"/>
        <w:rPr>
          <w:rFonts w:hint="eastAsia" w:ascii="方正黑体_GBK" w:hAnsi="方正黑体_GBK" w:eastAsia="方正黑体_GBK" w:cs="方正黑体_GBK"/>
          <w:b w:val="0"/>
          <w:color w:val="000000" w:themeColor="text1"/>
          <w14:textFill>
            <w14:solidFill>
              <w14:schemeClr w14:val="tx1"/>
            </w14:solidFill>
          </w14:textFill>
        </w:rPr>
      </w:pPr>
      <w:bookmarkStart w:id="55" w:name="_Toc76137882"/>
      <w:bookmarkStart w:id="56" w:name="_Toc76137911"/>
      <w:r>
        <w:rPr>
          <w:rFonts w:hint="eastAsia" w:ascii="方正黑体_GBK" w:hAnsi="方正黑体_GBK" w:eastAsia="方正黑体_GBK" w:cs="方正黑体_GBK"/>
          <w:b w:val="0"/>
          <w:color w:val="000000" w:themeColor="text1"/>
          <w14:textFill>
            <w14:solidFill>
              <w14:schemeClr w14:val="tx1"/>
            </w14:solidFill>
          </w14:textFill>
        </w:rPr>
        <w:t>一、绿色食品</w:t>
      </w:r>
      <w:bookmarkEnd w:id="55"/>
      <w:bookmarkEnd w:id="56"/>
    </w:p>
    <w:p w14:paraId="5EE033E3">
      <w:pPr>
        <w:spacing w:line="580" w:lineRule="exact"/>
        <w:ind w:firstLine="640" w:firstLineChars="200"/>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（一）发展思路和目标</w:t>
      </w:r>
    </w:p>
    <w:p w14:paraId="5A337915">
      <w:pPr>
        <w:spacing w:line="580" w:lineRule="exact"/>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把握绿色食品产业发展新趋势，以特色化、绿色化、品牌化发展为目标，重点围绕白姜、凤丹等特色产品，做大做强一批核心竞争力强、带动作用大的绿色食品精深加工企业，加快义安区绿色食品特色产业集群建设。力争到</w:t>
      </w:r>
      <w:r>
        <w:rPr>
          <w:rFonts w:ascii="Times New Roman" w:hAnsi="Times New Roman" w:eastAsia="仿宋_GB2312" w:cs="Times New Roman"/>
          <w:color w:val="000000" w:themeColor="text1"/>
          <w:sz w:val="32"/>
          <w:szCs w:val="32"/>
          <w14:textFill>
            <w14:solidFill>
              <w14:schemeClr w14:val="tx1"/>
            </w14:solidFill>
          </w14:textFill>
        </w:rPr>
        <w:t>2025</w:t>
      </w:r>
      <w:r>
        <w:rPr>
          <w:rFonts w:hint="eastAsia" w:ascii="方正仿宋_GBK" w:hAnsi="方正仿宋_GBK" w:eastAsia="方正仿宋_GBK" w:cs="方正仿宋_GBK"/>
          <w:color w:val="000000" w:themeColor="text1"/>
          <w:sz w:val="32"/>
          <w:szCs w:val="32"/>
          <w14:textFill>
            <w14:solidFill>
              <w14:schemeClr w14:val="tx1"/>
            </w14:solidFill>
          </w14:textFill>
        </w:rPr>
        <w:t>年绿色食品产值突破</w:t>
      </w:r>
      <w:r>
        <w:rPr>
          <w:rFonts w:ascii="Times New Roman" w:hAnsi="Times New Roman" w:eastAsia="仿宋_GB2312" w:cs="Times New Roman"/>
          <w:color w:val="000000" w:themeColor="text1"/>
          <w:sz w:val="32"/>
          <w:szCs w:val="32"/>
          <w14:textFill>
            <w14:solidFill>
              <w14:schemeClr w14:val="tx1"/>
            </w14:solidFill>
          </w14:textFill>
        </w:rPr>
        <w:t>10</w:t>
      </w:r>
      <w:r>
        <w:rPr>
          <w:rFonts w:hint="eastAsia" w:ascii="方正仿宋_GBK" w:hAnsi="方正仿宋_GBK" w:eastAsia="方正仿宋_GBK" w:cs="方正仿宋_GBK"/>
          <w:color w:val="000000" w:themeColor="text1"/>
          <w:sz w:val="32"/>
          <w:szCs w:val="32"/>
          <w14:textFill>
            <w14:solidFill>
              <w14:schemeClr w14:val="tx1"/>
            </w14:solidFill>
          </w14:textFill>
        </w:rPr>
        <w:t>亿元。</w:t>
      </w:r>
    </w:p>
    <w:p w14:paraId="03B910DF">
      <w:pPr>
        <w:spacing w:line="580" w:lineRule="exact"/>
        <w:ind w:firstLine="640" w:firstLineChars="200"/>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（二）发展重点和路径</w:t>
      </w:r>
    </w:p>
    <w:p w14:paraId="6DC8E040">
      <w:pPr>
        <w:spacing w:line="580" w:lineRule="exact"/>
        <w:ind w:firstLine="643" w:firstLineChars="200"/>
        <w:rPr>
          <w:rFonts w:hint="eastAsia" w:ascii="方正仿宋_GBK" w:hAnsi="方正仿宋_GBK" w:eastAsia="方正仿宋_GBK" w:cs="方正仿宋_GBK"/>
          <w:b/>
          <w:bCs/>
          <w:color w:val="000000" w:themeColor="text1"/>
          <w:sz w:val="32"/>
          <w:szCs w:val="32"/>
          <w14:textFill>
            <w14:solidFill>
              <w14:schemeClr w14:val="tx1"/>
            </w14:solidFill>
          </w14:textFill>
        </w:rPr>
      </w:pPr>
      <w:r>
        <w:rPr>
          <w:rFonts w:ascii="Times New Roman" w:hAnsi="Times New Roman" w:eastAsia="仿宋_GB2312" w:cs="Times New Roman"/>
          <w:b/>
          <w:bCs/>
          <w:color w:val="000000" w:themeColor="text1"/>
          <w:sz w:val="32"/>
          <w:szCs w:val="32"/>
          <w14:textFill>
            <w14:solidFill>
              <w14:schemeClr w14:val="tx1"/>
            </w14:solidFill>
          </w14:textFill>
        </w:rPr>
        <w:t>1</w:t>
      </w:r>
      <w:r>
        <w:rPr>
          <w:rFonts w:hint="eastAsia" w:ascii="Times New Roman" w:hAnsi="Times New Roman" w:eastAsia="仿宋_GB2312" w:cs="Times New Roman"/>
          <w:b/>
          <w:bCs/>
          <w:color w:val="000000" w:themeColor="text1"/>
          <w:sz w:val="32"/>
          <w:szCs w:val="32"/>
          <w14:textFill>
            <w14:solidFill>
              <w14:schemeClr w14:val="tx1"/>
            </w14:solidFill>
          </w14:textFill>
        </w:rPr>
        <w:t>．</w:t>
      </w:r>
      <w:r>
        <w:rPr>
          <w:rFonts w:hint="eastAsia" w:ascii="方正仿宋_GBK" w:hAnsi="方正仿宋_GBK" w:eastAsia="方正仿宋_GBK" w:cs="方正仿宋_GBK"/>
          <w:b/>
          <w:bCs/>
          <w:color w:val="000000" w:themeColor="text1"/>
          <w:sz w:val="32"/>
          <w:szCs w:val="32"/>
          <w14:textFill>
            <w14:solidFill>
              <w14:schemeClr w14:val="tx1"/>
            </w14:solidFill>
          </w14:textFill>
        </w:rPr>
        <w:t>壮大绿色食品产业规模</w:t>
      </w:r>
    </w:p>
    <w:p w14:paraId="4E4FDBA7">
      <w:pPr>
        <w:spacing w:line="580" w:lineRule="exact"/>
        <w:ind w:firstLine="640" w:firstLineChars="200"/>
        <w:rPr>
          <w:rFonts w:hint="eastAsia" w:ascii="方正仿宋_GBK" w:hAnsi="方正仿宋_GBK" w:eastAsia="方正仿宋_GBK" w:cs="方正仿宋_GBK"/>
          <w:color w:val="000000" w:themeColor="text1"/>
          <w:kern w:val="0"/>
          <w:sz w:val="32"/>
          <w:szCs w:val="32"/>
          <w:lang w:bidi="ar"/>
          <w14:textFill>
            <w14:solidFill>
              <w14:schemeClr w14:val="tx1"/>
            </w14:solidFill>
          </w14:textFill>
        </w:rPr>
      </w:pPr>
      <w:r>
        <w:rPr>
          <w:rFonts w:hint="eastAsia" w:ascii="方正仿宋_GBK" w:hAnsi="方正仿宋_GBK" w:eastAsia="方正仿宋_GBK" w:cs="方正仿宋_GBK"/>
          <w:color w:val="000000"/>
          <w:kern w:val="0"/>
          <w:sz w:val="32"/>
          <w:szCs w:val="32"/>
          <w:lang w:bidi="ar"/>
        </w:rPr>
        <w:t>严格执行国家绿色食品原材料种植基地建设标准，持续完善白姜、凤丹、果树、野生绿茶、白茶等种植基地建设，扩大绿色食品原材料产业规模。支持禾田中药、荣京凤丹生物等企业加大凤丹精深加工力度，打开牡丹籽油等高附加值产品市场，积极研发以凤丹为基础的药食两用食品、保健食品等新产品，谋划发展凤丹保健酒等创新型项目，提高凤丹开发利用价值，打造以凤丹为中心的绿色食品产业集群。大力推动白姜精深加工企业提档升级，支持铜雀二乔等企业建立企业技术研发中心，提高企业研发创新能力，引导企业在白姜口味、包装及受众人群等方面持续创新，依托铜陵“中华白姜”品牌优势，提升白姜系列绿色食品生产规模。</w:t>
      </w:r>
    </w:p>
    <w:p w14:paraId="68AA7ECA">
      <w:pPr>
        <w:spacing w:line="600" w:lineRule="exact"/>
        <w:ind w:firstLine="643" w:firstLineChars="200"/>
        <w:rPr>
          <w:rFonts w:hint="eastAsia" w:ascii="方正仿宋_GBK" w:hAnsi="方正仿宋_GBK" w:eastAsia="方正仿宋_GBK" w:cs="方正仿宋_GBK"/>
          <w:b/>
          <w:bCs/>
          <w:color w:val="000000" w:themeColor="text1"/>
          <w:sz w:val="32"/>
          <w:szCs w:val="32"/>
          <w14:textFill>
            <w14:solidFill>
              <w14:schemeClr w14:val="tx1"/>
            </w14:solidFill>
          </w14:textFill>
        </w:rPr>
      </w:pPr>
      <w:r>
        <w:rPr>
          <w:rFonts w:ascii="Times New Roman" w:hAnsi="Times New Roman" w:eastAsia="仿宋_GB2312" w:cs="Times New Roman"/>
          <w:b/>
          <w:bCs/>
          <w:color w:val="000000" w:themeColor="text1"/>
          <w:sz w:val="32"/>
          <w:szCs w:val="32"/>
          <w14:textFill>
            <w14:solidFill>
              <w14:schemeClr w14:val="tx1"/>
            </w14:solidFill>
          </w14:textFill>
        </w:rPr>
        <w:t>2</w:t>
      </w:r>
      <w:r>
        <w:rPr>
          <w:rFonts w:hint="eastAsia" w:ascii="Times New Roman" w:hAnsi="Times New Roman" w:eastAsia="仿宋_GB2312" w:cs="Times New Roman"/>
          <w:b/>
          <w:bCs/>
          <w:color w:val="000000" w:themeColor="text1"/>
          <w:sz w:val="32"/>
          <w:szCs w:val="32"/>
          <w14:textFill>
            <w14:solidFill>
              <w14:schemeClr w14:val="tx1"/>
            </w14:solidFill>
          </w14:textFill>
        </w:rPr>
        <w:t>．</w:t>
      </w:r>
      <w:r>
        <w:rPr>
          <w:rFonts w:hint="eastAsia" w:ascii="方正仿宋_GBK" w:hAnsi="方正仿宋_GBK" w:eastAsia="方正仿宋_GBK" w:cs="方正仿宋_GBK"/>
          <w:b/>
          <w:bCs/>
          <w:color w:val="000000" w:themeColor="text1"/>
          <w:sz w:val="32"/>
          <w:szCs w:val="32"/>
          <w14:textFill>
            <w14:solidFill>
              <w14:schemeClr w14:val="tx1"/>
            </w14:solidFill>
          </w14:textFill>
        </w:rPr>
        <w:t>延伸绿色食品产业链</w:t>
      </w:r>
    </w:p>
    <w:p w14:paraId="6FCF0583">
      <w:pPr>
        <w:pStyle w:val="5"/>
        <w:spacing w:line="600" w:lineRule="exact"/>
        <w:ind w:firstLine="640" w:firstLineChars="200"/>
        <w:rPr>
          <w:rFonts w:hint="eastAsia" w:ascii="方正仿宋_GBK" w:hAnsi="方正仿宋_GBK" w:eastAsia="方正仿宋_GBK" w:cs="方正仿宋_GBK"/>
          <w:color w:val="000000"/>
          <w:kern w:val="0"/>
          <w:sz w:val="32"/>
          <w:szCs w:val="32"/>
          <w:lang w:bidi="ar"/>
        </w:rPr>
      </w:pPr>
      <w:r>
        <w:rPr>
          <w:rFonts w:hint="eastAsia" w:ascii="方正仿宋_GBK" w:hAnsi="方正仿宋_GBK" w:eastAsia="方正仿宋_GBK" w:cs="方正仿宋_GBK"/>
          <w:color w:val="000000"/>
          <w:kern w:val="0"/>
          <w:sz w:val="32"/>
          <w:szCs w:val="32"/>
          <w:lang w:bidi="ar"/>
        </w:rPr>
        <w:t>依托义安区蔬果、肉类等优势资源，布局发展休闲食品、方便食品、功能食品等领域绿色食品。依托</w:t>
      </w:r>
      <w:r>
        <w:rPr>
          <w:rFonts w:hint="eastAsia" w:ascii="方正仿宋_GBK" w:hAnsi="方正仿宋_GBK" w:eastAsia="方正仿宋_GBK" w:cs="方正仿宋_GBK"/>
          <w:color w:val="000000" w:themeColor="text1"/>
          <w:sz w:val="32"/>
          <w:szCs w:val="32"/>
          <w14:textFill>
            <w14:solidFill>
              <w14:schemeClr w14:val="tx1"/>
            </w14:solidFill>
          </w14:textFill>
        </w:rPr>
        <w:t>铜陵国家农业科技园区等平台优势，抓住铜陵食品科技产业园建设契机，大力引入</w:t>
      </w:r>
      <w:r>
        <w:rPr>
          <w:rFonts w:hint="eastAsia" w:ascii="方正仿宋_GBK" w:hAnsi="方正仿宋_GBK" w:eastAsia="方正仿宋_GBK" w:cs="方正仿宋_GBK"/>
          <w:color w:val="000000"/>
          <w:kern w:val="0"/>
          <w:sz w:val="32"/>
          <w:szCs w:val="32"/>
          <w:lang w:bidi="ar"/>
        </w:rPr>
        <w:t>良品铺子、有友食品等国内休闲食品领域知名企业，带动本地食品加工领域企业转型发展卤制品、果脯蜜饯、坚果炒货等休闲食品领域，形成食品产业集聚延伸产业链条。鼓励企业加强与江南大学产学研合作力度，加大牡丹的功能性研发力度，探索发展牡丹花蜂蜜、泡腾片、酵素、牡丹花蕊茶及功能性饮料等领域。</w:t>
      </w:r>
    </w:p>
    <w:tbl>
      <w:tblPr>
        <w:tblStyle w:val="1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822"/>
      </w:tblGrid>
      <w:tr w14:paraId="2994E2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822" w:type="dxa"/>
            <w:shd w:val="clear" w:color="auto" w:fill="auto"/>
            <w:vAlign w:val="center"/>
          </w:tcPr>
          <w:p w14:paraId="741375A3">
            <w:pPr>
              <w:spacing w:line="400" w:lineRule="exact"/>
              <w:jc w:val="center"/>
              <w:rPr>
                <w:rFonts w:ascii="方正小标宋简体" w:hAnsi="Times New Roman" w:eastAsia="方正小标宋简体" w:cs="Times New Roman"/>
                <w:bCs/>
                <w:color w:val="000000" w:themeColor="text1"/>
                <w:sz w:val="32"/>
                <w:szCs w:val="32"/>
                <w14:textFill>
                  <w14:solidFill>
                    <w14:schemeClr w14:val="tx1"/>
                  </w14:solidFill>
                </w14:textFill>
              </w:rPr>
            </w:pPr>
            <w:r>
              <w:rPr>
                <w:rFonts w:ascii="方正小标宋简体" w:hAnsi="Times New Roman" w:eastAsia="方正小标宋简体" w:cs="Times New Roman"/>
                <w:bCs/>
                <w:color w:val="000000" w:themeColor="text1"/>
                <w:sz w:val="32"/>
                <w:szCs w:val="32"/>
                <w14:textFill>
                  <w14:solidFill>
                    <w14:schemeClr w14:val="tx1"/>
                  </w14:solidFill>
                </w14:textFill>
              </w:rPr>
              <w:t>专栏</w:t>
            </w:r>
            <w:r>
              <w:rPr>
                <w:rFonts w:ascii="Times New Roman" w:hAnsi="Times New Roman" w:eastAsia="方正小标宋简体" w:cs="Times New Roman"/>
                <w:bCs/>
                <w:color w:val="000000" w:themeColor="text1"/>
                <w:sz w:val="32"/>
                <w:szCs w:val="32"/>
                <w14:textFill>
                  <w14:solidFill>
                    <w14:schemeClr w14:val="tx1"/>
                  </w14:solidFill>
                </w14:textFill>
              </w:rPr>
              <w:t>5</w:t>
            </w:r>
            <w:r>
              <w:rPr>
                <w:rFonts w:ascii="方正小标宋简体" w:hAnsi="Times New Roman" w:eastAsia="方正小标宋简体" w:cs="Times New Roman"/>
                <w:bCs/>
                <w:color w:val="000000" w:themeColor="text1"/>
                <w:sz w:val="32"/>
                <w:szCs w:val="32"/>
                <w14:textFill>
                  <w14:solidFill>
                    <w14:schemeClr w14:val="tx1"/>
                  </w14:solidFill>
                </w14:textFill>
              </w:rPr>
              <w:t>：绿色食品产业项目</w:t>
            </w:r>
          </w:p>
        </w:tc>
      </w:tr>
      <w:tr w14:paraId="592B43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14" w:hRule="atLeast"/>
          <w:jc w:val="center"/>
        </w:trPr>
        <w:tc>
          <w:tcPr>
            <w:tcW w:w="8822" w:type="dxa"/>
            <w:shd w:val="clear" w:color="auto" w:fill="auto"/>
            <w:vAlign w:val="center"/>
          </w:tcPr>
          <w:p w14:paraId="4FC5250D">
            <w:pPr>
              <w:spacing w:line="480" w:lineRule="exact"/>
              <w:rPr>
                <w:rFonts w:ascii="宋体" w:hAnsi="宋体" w:eastAsia="宋体" w:cs="Times New Roman"/>
                <w:szCs w:val="21"/>
              </w:rPr>
            </w:pPr>
            <w:r>
              <w:rPr>
                <w:rFonts w:ascii="宋体" w:hAnsi="宋体" w:eastAsia="宋体" w:cs="Times New Roman"/>
                <w:color w:val="000000"/>
                <w:kern w:val="0"/>
                <w:sz w:val="28"/>
                <w:szCs w:val="28"/>
                <w:lang w:bidi="ar"/>
              </w:rPr>
              <w:t>圣迪乐蛋品深加工、现代食品产业园、年产</w:t>
            </w:r>
            <w:r>
              <w:rPr>
                <w:rFonts w:ascii="Times New Roman" w:hAnsi="Times New Roman" w:eastAsia="宋体" w:cs="Times New Roman"/>
                <w:color w:val="000000"/>
                <w:kern w:val="0"/>
                <w:sz w:val="28"/>
                <w:szCs w:val="28"/>
                <w:lang w:bidi="ar"/>
              </w:rPr>
              <w:t>2000</w:t>
            </w:r>
            <w:r>
              <w:rPr>
                <w:rFonts w:ascii="宋体" w:hAnsi="宋体" w:eastAsia="宋体" w:cs="Times New Roman"/>
                <w:color w:val="000000"/>
                <w:kern w:val="0"/>
                <w:sz w:val="28"/>
                <w:szCs w:val="28"/>
                <w:lang w:bidi="ar"/>
              </w:rPr>
              <w:t>吨炒货休闲食品生产线建设、年产</w:t>
            </w:r>
            <w:r>
              <w:rPr>
                <w:rFonts w:ascii="Times New Roman" w:hAnsi="Times New Roman" w:eastAsia="宋体" w:cs="Times New Roman"/>
                <w:color w:val="000000"/>
                <w:kern w:val="0"/>
                <w:sz w:val="28"/>
                <w:szCs w:val="28"/>
                <w:lang w:bidi="ar"/>
              </w:rPr>
              <w:t>10000</w:t>
            </w:r>
            <w:r>
              <w:rPr>
                <w:rFonts w:ascii="宋体" w:hAnsi="宋体" w:eastAsia="宋体" w:cs="Times New Roman"/>
                <w:color w:val="000000"/>
                <w:kern w:val="0"/>
                <w:sz w:val="28"/>
                <w:szCs w:val="28"/>
                <w:lang w:bidi="ar"/>
              </w:rPr>
              <w:t>吨休闲食品生产线建设等项目、年产</w:t>
            </w:r>
            <w:r>
              <w:rPr>
                <w:rFonts w:ascii="Times New Roman" w:hAnsi="Times New Roman" w:eastAsia="宋体" w:cs="Times New Roman"/>
                <w:color w:val="000000"/>
                <w:kern w:val="0"/>
                <w:sz w:val="28"/>
                <w:szCs w:val="28"/>
                <w:lang w:bidi="ar"/>
              </w:rPr>
              <w:t>2</w:t>
            </w:r>
            <w:r>
              <w:rPr>
                <w:rFonts w:ascii="宋体" w:hAnsi="宋体" w:eastAsia="宋体" w:cs="Times New Roman"/>
                <w:color w:val="000000"/>
                <w:kern w:val="0"/>
                <w:sz w:val="28"/>
                <w:szCs w:val="28"/>
                <w:lang w:bidi="ar"/>
              </w:rPr>
              <w:t>万吨坚果炒货食品加工、安徽古俊肉制品加工及中央厨房、年产</w:t>
            </w:r>
            <w:r>
              <w:rPr>
                <w:rFonts w:ascii="Times New Roman" w:hAnsi="Times New Roman" w:eastAsia="宋体" w:cs="Times New Roman"/>
                <w:color w:val="000000"/>
                <w:kern w:val="0"/>
                <w:sz w:val="28"/>
                <w:szCs w:val="28"/>
                <w:lang w:bidi="ar"/>
              </w:rPr>
              <w:t>5000</w:t>
            </w:r>
            <w:r>
              <w:rPr>
                <w:rFonts w:ascii="宋体" w:hAnsi="宋体" w:eastAsia="宋体" w:cs="Times New Roman"/>
                <w:color w:val="000000"/>
                <w:kern w:val="0"/>
                <w:sz w:val="28"/>
                <w:szCs w:val="28"/>
                <w:lang w:bidi="ar"/>
              </w:rPr>
              <w:t>吨膨化食品加工项目、牛油脂及火锅底料加工项目、冷冻肉制品预制菜生产加工基地、中铭生物科技酯化植物营养中间体制造项目</w:t>
            </w:r>
            <w:r>
              <w:rPr>
                <w:rFonts w:hint="eastAsia" w:ascii="宋体" w:hAnsi="宋体" w:eastAsia="宋体"/>
                <w:color w:val="000000"/>
                <w:kern w:val="0"/>
                <w:sz w:val="28"/>
                <w:szCs w:val="28"/>
              </w:rPr>
              <w:t>、安徽中铭藻源特医食品有限公司虾青素、蛋黄粉开发项目</w:t>
            </w:r>
            <w:r>
              <w:rPr>
                <w:rFonts w:ascii="宋体" w:hAnsi="宋体" w:eastAsia="宋体" w:cs="Times New Roman"/>
                <w:color w:val="000000"/>
                <w:kern w:val="0"/>
                <w:sz w:val="28"/>
                <w:szCs w:val="28"/>
                <w:lang w:bidi="ar"/>
              </w:rPr>
              <w:t>。</w:t>
            </w:r>
          </w:p>
        </w:tc>
      </w:tr>
    </w:tbl>
    <w:p w14:paraId="4A90CE5D">
      <w:pPr>
        <w:spacing w:before="156" w:beforeLines="50" w:after="156" w:afterLines="50" w:line="520" w:lineRule="exact"/>
        <w:jc w:val="center"/>
        <w:rPr>
          <w:rFonts w:ascii="方正小标宋简体" w:hAnsi="Times New Roman" w:eastAsia="方正小标宋简体" w:cs="Times New Roman"/>
          <w:bCs/>
          <w:color w:val="000000"/>
          <w:sz w:val="32"/>
          <w:szCs w:val="32"/>
          <w:lang w:bidi="ar"/>
        </w:rPr>
      </w:pPr>
      <w:r>
        <w:rPr>
          <w:rFonts w:ascii="方正小标宋简体" w:hAnsi="Times New Roman" w:eastAsia="方正小标宋简体" w:cs="Times New Roman"/>
          <w:bCs/>
          <w:color w:val="000000" w:themeColor="text1"/>
          <w:sz w:val="32"/>
          <w:szCs w:val="32"/>
          <w14:textFill>
            <w14:solidFill>
              <w14:schemeClr w14:val="tx1"/>
            </w14:solidFill>
          </w14:textFill>
        </w:rPr>
        <w:t>表</w:t>
      </w:r>
      <w:r>
        <w:rPr>
          <w:rFonts w:ascii="Times New Roman" w:hAnsi="Times New Roman" w:eastAsia="方正小标宋简体" w:cs="Times New Roman"/>
          <w:bCs/>
          <w:color w:val="000000" w:themeColor="text1"/>
          <w:sz w:val="32"/>
          <w:szCs w:val="32"/>
          <w14:textFill>
            <w14:solidFill>
              <w14:schemeClr w14:val="tx1"/>
            </w14:solidFill>
          </w14:textFill>
        </w:rPr>
        <w:t>5</w:t>
      </w:r>
      <w:r>
        <w:rPr>
          <w:rFonts w:ascii="方正小标宋简体" w:hAnsi="Times New Roman" w:eastAsia="方正小标宋简体" w:cs="Times New Roman"/>
          <w:bCs/>
          <w:color w:val="000000" w:themeColor="text1"/>
          <w:sz w:val="32"/>
          <w:szCs w:val="32"/>
          <w14:textFill>
            <w14:solidFill>
              <w14:schemeClr w14:val="tx1"/>
            </w14:solidFill>
          </w14:textFill>
        </w:rPr>
        <w:t xml:space="preserve"> 绿色食品产业链招商参考企业库</w:t>
      </w:r>
    </w:p>
    <w:tbl>
      <w:tblPr>
        <w:tblStyle w:val="14"/>
        <w:tblW w:w="4921"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808"/>
        <w:gridCol w:w="5165"/>
        <w:gridCol w:w="1944"/>
      </w:tblGrid>
      <w:tr w14:paraId="5281F8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14" w:type="pct"/>
            <w:shd w:val="clear" w:color="auto" w:fill="auto"/>
            <w:vAlign w:val="center"/>
          </w:tcPr>
          <w:p w14:paraId="3049AB04">
            <w:pPr>
              <w:jc w:val="center"/>
              <w:rPr>
                <w:rFonts w:ascii="Times New Roman" w:hAnsi="Times New Roman" w:eastAsia="黑体" w:cs="Times New Roman"/>
                <w:bCs/>
                <w:color w:val="000000" w:themeColor="text1"/>
                <w:sz w:val="24"/>
                <w14:textFill>
                  <w14:solidFill>
                    <w14:schemeClr w14:val="tx1"/>
                  </w14:solidFill>
                </w14:textFill>
              </w:rPr>
            </w:pPr>
            <w:bookmarkStart w:id="57" w:name="_Toc76137883"/>
            <w:bookmarkStart w:id="58" w:name="_Toc76137912"/>
            <w:r>
              <w:rPr>
                <w:rFonts w:ascii="Times New Roman" w:hAnsi="Times New Roman" w:eastAsia="黑体" w:cs="Times New Roman"/>
                <w:bCs/>
                <w:color w:val="000000" w:themeColor="text1"/>
                <w:sz w:val="24"/>
                <w:szCs w:val="24"/>
                <w14:textFill>
                  <w14:solidFill>
                    <w14:schemeClr w14:val="tx1"/>
                  </w14:solidFill>
                </w14:textFill>
              </w:rPr>
              <w:t>企业名称</w:t>
            </w:r>
          </w:p>
        </w:tc>
        <w:tc>
          <w:tcPr>
            <w:tcW w:w="2896" w:type="pct"/>
            <w:shd w:val="clear" w:color="auto" w:fill="auto"/>
            <w:vAlign w:val="center"/>
          </w:tcPr>
          <w:p w14:paraId="15327B24">
            <w:pPr>
              <w:jc w:val="center"/>
              <w:rPr>
                <w:rFonts w:ascii="Times New Roman" w:hAnsi="Times New Roman" w:eastAsia="黑体" w:cs="Times New Roman"/>
                <w:bCs/>
                <w:color w:val="000000" w:themeColor="text1"/>
                <w:sz w:val="24"/>
                <w14:textFill>
                  <w14:solidFill>
                    <w14:schemeClr w14:val="tx1"/>
                  </w14:solidFill>
                </w14:textFill>
              </w:rPr>
            </w:pPr>
            <w:r>
              <w:rPr>
                <w:rFonts w:ascii="Times New Roman" w:hAnsi="Times New Roman" w:eastAsia="黑体" w:cs="Times New Roman"/>
                <w:bCs/>
                <w:color w:val="000000" w:themeColor="text1"/>
                <w:sz w:val="24"/>
                <w:szCs w:val="24"/>
                <w14:textFill>
                  <w14:solidFill>
                    <w14:schemeClr w14:val="tx1"/>
                  </w14:solidFill>
                </w14:textFill>
              </w:rPr>
              <w:t>主营业务范围</w:t>
            </w:r>
          </w:p>
        </w:tc>
        <w:tc>
          <w:tcPr>
            <w:tcW w:w="1090" w:type="pct"/>
            <w:shd w:val="clear" w:color="auto" w:fill="auto"/>
            <w:vAlign w:val="center"/>
          </w:tcPr>
          <w:p w14:paraId="72BAAE1A">
            <w:pPr>
              <w:jc w:val="center"/>
              <w:rPr>
                <w:rFonts w:ascii="Times New Roman" w:hAnsi="Times New Roman" w:eastAsia="黑体" w:cs="Times New Roman"/>
                <w:bCs/>
                <w:color w:val="000000" w:themeColor="text1"/>
                <w:sz w:val="24"/>
                <w:szCs w:val="24"/>
                <w14:textFill>
                  <w14:solidFill>
                    <w14:schemeClr w14:val="tx1"/>
                  </w14:solidFill>
                </w14:textFill>
              </w:rPr>
            </w:pPr>
            <w:r>
              <w:rPr>
                <w:rFonts w:ascii="Times New Roman" w:hAnsi="Times New Roman" w:eastAsia="黑体" w:cs="Times New Roman"/>
                <w:bCs/>
                <w:color w:val="000000" w:themeColor="text1"/>
                <w:sz w:val="24"/>
                <w:szCs w:val="24"/>
                <w14:textFill>
                  <w14:solidFill>
                    <w14:schemeClr w14:val="tx1"/>
                  </w14:solidFill>
                </w14:textFill>
              </w:rPr>
              <w:t>引进方向</w:t>
            </w:r>
          </w:p>
          <w:p w14:paraId="4CAAE0E1">
            <w:pPr>
              <w:jc w:val="center"/>
              <w:rPr>
                <w:rFonts w:ascii="Times New Roman" w:hAnsi="Times New Roman" w:eastAsia="黑体" w:cs="Times New Roman"/>
                <w:bCs/>
                <w:color w:val="000000" w:themeColor="text1"/>
                <w:spacing w:val="-8"/>
                <w:sz w:val="24"/>
                <w14:textFill>
                  <w14:solidFill>
                    <w14:schemeClr w14:val="tx1"/>
                  </w14:solidFill>
                </w14:textFill>
              </w:rPr>
            </w:pPr>
            <w:r>
              <w:rPr>
                <w:rFonts w:ascii="Times New Roman" w:hAnsi="Times New Roman" w:eastAsia="黑体" w:cs="Times New Roman"/>
                <w:bCs/>
                <w:color w:val="000000" w:themeColor="text1"/>
                <w:spacing w:val="-8"/>
                <w:sz w:val="24"/>
                <w:szCs w:val="24"/>
                <w14:textFill>
                  <w14:solidFill>
                    <w14:schemeClr w14:val="tx1"/>
                  </w14:solidFill>
                </w14:textFill>
              </w:rPr>
              <w:t>（强链延链补链）</w:t>
            </w:r>
          </w:p>
        </w:tc>
      </w:tr>
      <w:tr w14:paraId="098B51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86" w:hRule="atLeast"/>
          <w:jc w:val="center"/>
        </w:trPr>
        <w:tc>
          <w:tcPr>
            <w:tcW w:w="1014" w:type="pct"/>
            <w:shd w:val="clear" w:color="auto" w:fill="auto"/>
            <w:vAlign w:val="center"/>
          </w:tcPr>
          <w:p w14:paraId="28CE7DD1">
            <w:pPr>
              <w:spacing w:line="40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良品铺子股份</w:t>
            </w:r>
          </w:p>
          <w:p w14:paraId="5F28E069">
            <w:pPr>
              <w:spacing w:line="400" w:lineRule="exact"/>
              <w:jc w:val="center"/>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有限公司</w:t>
            </w:r>
          </w:p>
        </w:tc>
        <w:tc>
          <w:tcPr>
            <w:tcW w:w="2896" w:type="pct"/>
            <w:shd w:val="clear" w:color="auto" w:fill="auto"/>
            <w:vAlign w:val="center"/>
          </w:tcPr>
          <w:p w14:paraId="3E35F5E9">
            <w:pPr>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开发与推广特色休闲食品的全国直营连锁企业，肉类零食、坚果炒货、糖果糕点、果干果脯、素食山珍等多个品类、</w:t>
            </w:r>
            <w:r>
              <w:rPr>
                <w:rFonts w:ascii="Times New Roman" w:hAnsi="Times New Roman" w:eastAsia="宋体" w:cs="Times New Roman"/>
                <w:color w:val="000000" w:themeColor="text1"/>
                <w:sz w:val="24"/>
                <w:szCs w:val="24"/>
                <w14:textFill>
                  <w14:solidFill>
                    <w14:schemeClr w14:val="tx1"/>
                  </w14:solidFill>
                </w14:textFill>
              </w:rPr>
              <w:t>1400</w:t>
            </w:r>
            <w:r>
              <w:rPr>
                <w:rFonts w:ascii="宋体" w:hAnsi="宋体" w:eastAsia="宋体" w:cs="Times New Roman"/>
                <w:color w:val="000000" w:themeColor="text1"/>
                <w:sz w:val="24"/>
                <w:szCs w:val="24"/>
                <w14:textFill>
                  <w14:solidFill>
                    <w14:schemeClr w14:val="tx1"/>
                  </w14:solidFill>
                </w14:textFill>
              </w:rPr>
              <w:t>余种的产品组合。</w:t>
            </w:r>
          </w:p>
        </w:tc>
        <w:tc>
          <w:tcPr>
            <w:tcW w:w="1090" w:type="pct"/>
            <w:shd w:val="clear" w:color="auto" w:fill="auto"/>
            <w:vAlign w:val="center"/>
          </w:tcPr>
          <w:p w14:paraId="3727B659">
            <w:pPr>
              <w:spacing w:line="40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延链：坚果炒货、果脯蜜饯等休闲食品</w:t>
            </w:r>
          </w:p>
        </w:tc>
      </w:tr>
      <w:tr w14:paraId="37CC0D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81" w:hRule="atLeast"/>
          <w:jc w:val="center"/>
        </w:trPr>
        <w:tc>
          <w:tcPr>
            <w:tcW w:w="1014" w:type="pct"/>
            <w:shd w:val="clear" w:color="auto" w:fill="auto"/>
            <w:vAlign w:val="center"/>
          </w:tcPr>
          <w:p w14:paraId="47B0787F">
            <w:pPr>
              <w:spacing w:line="40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有友食品股份</w:t>
            </w:r>
          </w:p>
          <w:p w14:paraId="40CF9952">
            <w:pPr>
              <w:spacing w:line="400" w:lineRule="exact"/>
              <w:jc w:val="center"/>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有限公司</w:t>
            </w:r>
          </w:p>
        </w:tc>
        <w:tc>
          <w:tcPr>
            <w:tcW w:w="2896" w:type="pct"/>
            <w:shd w:val="clear" w:color="auto" w:fill="auto"/>
            <w:vAlign w:val="center"/>
          </w:tcPr>
          <w:p w14:paraId="7739AE0F">
            <w:pPr>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主要经营肉制品(酱卤肉制品)、蔬菜制品(酱腌菜)、豆制品(非发酵性豆制品、其他豆制品):其他水产加工品(风味鱼制品)。</w:t>
            </w:r>
          </w:p>
        </w:tc>
        <w:tc>
          <w:tcPr>
            <w:tcW w:w="1090" w:type="pct"/>
            <w:shd w:val="clear" w:color="auto" w:fill="auto"/>
            <w:vAlign w:val="center"/>
          </w:tcPr>
          <w:p w14:paraId="7AD77C64">
            <w:pPr>
              <w:spacing w:line="400" w:lineRule="exact"/>
              <w:rPr>
                <w:rFonts w:ascii="宋体" w:hAnsi="宋体" w:eastAsia="宋体" w:cs="Times New Roman"/>
                <w:color w:val="000000" w:themeColor="text1"/>
                <w:spacing w:val="-8"/>
                <w:sz w:val="24"/>
                <w14:textFill>
                  <w14:solidFill>
                    <w14:schemeClr w14:val="tx1"/>
                  </w14:solidFill>
                </w14:textFill>
              </w:rPr>
            </w:pPr>
            <w:r>
              <w:rPr>
                <w:rFonts w:ascii="宋体" w:hAnsi="宋体" w:eastAsia="宋体" w:cs="Times New Roman"/>
                <w:color w:val="000000" w:themeColor="text1"/>
                <w:spacing w:val="-8"/>
                <w:sz w:val="24"/>
                <w:szCs w:val="24"/>
                <w14:textFill>
                  <w14:solidFill>
                    <w14:schemeClr w14:val="tx1"/>
                  </w14:solidFill>
                </w14:textFill>
              </w:rPr>
              <w:t>延链：肉制品加工</w:t>
            </w:r>
          </w:p>
        </w:tc>
      </w:tr>
      <w:tr w14:paraId="2D9D31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1014" w:type="pct"/>
            <w:shd w:val="clear" w:color="auto" w:fill="auto"/>
            <w:vAlign w:val="center"/>
          </w:tcPr>
          <w:p w14:paraId="2A39521A">
            <w:pPr>
              <w:spacing w:line="400" w:lineRule="exact"/>
              <w:jc w:val="center"/>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青松食品集团</w:t>
            </w:r>
          </w:p>
        </w:tc>
        <w:tc>
          <w:tcPr>
            <w:tcW w:w="2896" w:type="pct"/>
            <w:shd w:val="clear" w:color="auto" w:fill="auto"/>
            <w:vAlign w:val="center"/>
          </w:tcPr>
          <w:p w14:paraId="740F7BDF">
            <w:pPr>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从事营养早餐、传统面点等食品的生产、研发、销售，食品检测、蔬菜工业化生产等多个版块。</w:t>
            </w:r>
          </w:p>
        </w:tc>
        <w:tc>
          <w:tcPr>
            <w:tcW w:w="1090" w:type="pct"/>
            <w:shd w:val="clear" w:color="auto" w:fill="auto"/>
            <w:vAlign w:val="center"/>
          </w:tcPr>
          <w:p w14:paraId="110FFE58">
            <w:pPr>
              <w:spacing w:line="40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延链：方便食品</w:t>
            </w:r>
          </w:p>
        </w:tc>
      </w:tr>
      <w:tr w14:paraId="16EE53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014" w:type="pct"/>
            <w:shd w:val="clear" w:color="auto" w:fill="auto"/>
            <w:vAlign w:val="center"/>
          </w:tcPr>
          <w:p w14:paraId="028DBD9B">
            <w:pPr>
              <w:spacing w:line="400" w:lineRule="exact"/>
              <w:jc w:val="center"/>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上好佳（中国）有限公司</w:t>
            </w:r>
          </w:p>
        </w:tc>
        <w:tc>
          <w:tcPr>
            <w:tcW w:w="2896" w:type="pct"/>
            <w:shd w:val="clear" w:color="auto" w:fill="auto"/>
            <w:vAlign w:val="center"/>
          </w:tcPr>
          <w:p w14:paraId="12AF9524">
            <w:pPr>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主要经营膨化食品、糖果</w:t>
            </w:r>
            <w:r>
              <w:rPr>
                <w:rFonts w:ascii="Times New Roman" w:hAnsi="Times New Roman" w:eastAsia="宋体" w:cs="Times New Roman"/>
                <w:color w:val="000000" w:themeColor="text1"/>
                <w:sz w:val="24"/>
                <w:szCs w:val="24"/>
                <w14:textFill>
                  <w14:solidFill>
                    <w14:schemeClr w14:val="tx1"/>
                  </w14:solidFill>
                </w14:textFill>
              </w:rPr>
              <w:t>100</w:t>
            </w:r>
            <w:r>
              <w:rPr>
                <w:rFonts w:ascii="宋体" w:hAnsi="宋体" w:eastAsia="宋体" w:cs="Times New Roman"/>
                <w:color w:val="000000" w:themeColor="text1"/>
                <w:sz w:val="24"/>
                <w:szCs w:val="24"/>
                <w14:textFill>
                  <w14:solidFill>
                    <w14:schemeClr w14:val="tx1"/>
                  </w14:solidFill>
                </w14:textFill>
              </w:rPr>
              <w:t>多个品种和口味的休闲产品。</w:t>
            </w:r>
          </w:p>
        </w:tc>
        <w:tc>
          <w:tcPr>
            <w:tcW w:w="1090" w:type="pct"/>
            <w:shd w:val="clear" w:color="auto" w:fill="auto"/>
            <w:vAlign w:val="center"/>
          </w:tcPr>
          <w:p w14:paraId="74F93189">
            <w:pPr>
              <w:spacing w:line="40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延链：膨化食品</w:t>
            </w:r>
          </w:p>
        </w:tc>
      </w:tr>
      <w:tr w14:paraId="119B75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5" w:hRule="atLeast"/>
          <w:jc w:val="center"/>
        </w:trPr>
        <w:tc>
          <w:tcPr>
            <w:tcW w:w="1014" w:type="pct"/>
            <w:shd w:val="clear" w:color="auto" w:fill="auto"/>
            <w:vAlign w:val="center"/>
          </w:tcPr>
          <w:p w14:paraId="4B4D7DC0">
            <w:pPr>
              <w:spacing w:line="400" w:lineRule="exact"/>
              <w:jc w:val="center"/>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仙乐健康科技</w:t>
            </w:r>
          </w:p>
          <w:p w14:paraId="4FF6C983">
            <w:pPr>
              <w:spacing w:line="400" w:lineRule="exact"/>
              <w:jc w:val="center"/>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股份有限公司</w:t>
            </w:r>
          </w:p>
        </w:tc>
        <w:tc>
          <w:tcPr>
            <w:tcW w:w="2896" w:type="pct"/>
            <w:shd w:val="clear" w:color="auto" w:fill="auto"/>
            <w:vAlign w:val="center"/>
          </w:tcPr>
          <w:p w14:paraId="499D81DA">
            <w:pPr>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全球主要的营养保健食品合同开发与制造商之一，产品涵盖软胶囊、</w:t>
            </w:r>
            <w:r>
              <w:rPr>
                <w:rFonts w:ascii="Times New Roman" w:hAnsi="Times New Roman" w:eastAsia="宋体" w:cs="Times New Roman"/>
                <w:color w:val="000000" w:themeColor="text1"/>
                <w:sz w:val="24"/>
                <w:szCs w:val="24"/>
                <w14:textFill>
                  <w14:solidFill>
                    <w14:schemeClr w14:val="tx1"/>
                  </w14:solidFill>
                </w14:textFill>
              </w:rPr>
              <w:t>VeggieSoft®</w:t>
            </w:r>
            <w:r>
              <w:rPr>
                <w:rFonts w:ascii="宋体" w:hAnsi="宋体" w:eastAsia="宋体" w:cs="Times New Roman"/>
                <w:color w:val="000000" w:themeColor="text1"/>
                <w:sz w:val="24"/>
                <w:szCs w:val="24"/>
                <w14:textFill>
                  <w14:solidFill>
                    <w14:schemeClr w14:val="tx1"/>
                  </w14:solidFill>
                </w14:textFill>
              </w:rPr>
              <w:t>素怡®植物胶软胶囊、营养软糖、片剂、硬胶囊、粉剂、健康饮品、益生菌等多个剂型。</w:t>
            </w:r>
          </w:p>
        </w:tc>
        <w:tc>
          <w:tcPr>
            <w:tcW w:w="1090" w:type="pct"/>
            <w:shd w:val="clear" w:color="auto" w:fill="auto"/>
            <w:vAlign w:val="center"/>
          </w:tcPr>
          <w:p w14:paraId="3A8B6B2D">
            <w:pPr>
              <w:spacing w:line="40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补链强链：功能</w:t>
            </w:r>
            <w:r>
              <w:rPr>
                <w:rFonts w:ascii="宋体" w:hAnsi="宋体" w:eastAsia="宋体" w:cs="Times New Roman"/>
                <w:color w:val="000000" w:themeColor="text1"/>
                <w:spacing w:val="-14"/>
                <w:sz w:val="24"/>
                <w:szCs w:val="24"/>
                <w14:textFill>
                  <w14:solidFill>
                    <w14:schemeClr w14:val="tx1"/>
                  </w14:solidFill>
                </w14:textFill>
              </w:rPr>
              <w:t>性食品、保健食品</w:t>
            </w:r>
            <w:r>
              <w:rPr>
                <w:rFonts w:ascii="宋体" w:hAnsi="宋体" w:eastAsia="宋体" w:cs="Times New Roman"/>
                <w:color w:val="000000" w:themeColor="text1"/>
                <w:sz w:val="24"/>
                <w:szCs w:val="24"/>
                <w14:textFill>
                  <w14:solidFill>
                    <w14:schemeClr w14:val="tx1"/>
                  </w14:solidFill>
                </w14:textFill>
              </w:rPr>
              <w:t>。</w:t>
            </w:r>
          </w:p>
        </w:tc>
      </w:tr>
    </w:tbl>
    <w:p w14:paraId="13EAA19B">
      <w:pPr>
        <w:pStyle w:val="4"/>
        <w:pageBreakBefore w:val="0"/>
        <w:widowControl w:val="0"/>
        <w:kinsoku/>
        <w:wordWrap/>
        <w:overflowPunct/>
        <w:topLinePunct w:val="0"/>
        <w:autoSpaceDE/>
        <w:autoSpaceDN/>
        <w:bidi w:val="0"/>
        <w:adjustRightInd/>
        <w:snapToGrid/>
        <w:spacing w:before="0" w:after="0" w:line="590" w:lineRule="exact"/>
        <w:ind w:firstLine="640" w:firstLineChars="200"/>
        <w:textAlignment w:val="auto"/>
        <w:rPr>
          <w:rFonts w:hint="eastAsia" w:ascii="方正黑体_GBK" w:hAnsi="方正黑体_GBK" w:eastAsia="方正黑体_GBK" w:cs="方正黑体_GBK"/>
          <w:b w:val="0"/>
          <w:color w:val="000000" w:themeColor="text1"/>
          <w14:textFill>
            <w14:solidFill>
              <w14:schemeClr w14:val="tx1"/>
            </w14:solidFill>
          </w14:textFill>
        </w:rPr>
      </w:pPr>
      <w:r>
        <w:rPr>
          <w:rFonts w:hint="eastAsia" w:ascii="方正黑体_GBK" w:hAnsi="方正黑体_GBK" w:eastAsia="方正黑体_GBK" w:cs="方正黑体_GBK"/>
          <w:b w:val="0"/>
          <w:color w:val="000000" w:themeColor="text1"/>
          <w14:textFill>
            <w14:solidFill>
              <w14:schemeClr w14:val="tx1"/>
            </w14:solidFill>
          </w14:textFill>
        </w:rPr>
        <w:t>二、节能环保</w:t>
      </w:r>
      <w:bookmarkEnd w:id="57"/>
      <w:bookmarkEnd w:id="58"/>
    </w:p>
    <w:p w14:paraId="2B466684">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（一）发展思路和目标</w:t>
      </w:r>
    </w:p>
    <w:p w14:paraId="46D79A10">
      <w:pPr>
        <w:pStyle w:val="5"/>
        <w:pageBreakBefore w:val="0"/>
        <w:widowControl w:val="0"/>
        <w:kinsoku/>
        <w:wordWrap/>
        <w:overflowPunct/>
        <w:topLinePunct w:val="0"/>
        <w:autoSpaceDE/>
        <w:autoSpaceDN/>
        <w:bidi w:val="0"/>
        <w:adjustRightInd/>
        <w:snapToGrid/>
        <w:spacing w:line="590" w:lineRule="exact"/>
        <w:textAlignment w:val="auto"/>
        <w:rPr>
          <w:rFonts w:eastAsia="仿宋_GB2312" w:cs="Times New Roman"/>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紧抓国家推进“碳达峰、碳中和”战略机遇，着力打造布局合理、特色鲜明、链条完善的节能环保产业体系。力争到</w:t>
      </w:r>
      <w:r>
        <w:rPr>
          <w:rFonts w:eastAsia="仿宋_GB2312" w:cs="Times New Roman"/>
          <w:color w:val="000000" w:themeColor="text1"/>
          <w:sz w:val="32"/>
          <w:szCs w:val="32"/>
          <w14:textFill>
            <w14:solidFill>
              <w14:schemeClr w14:val="tx1"/>
            </w14:solidFill>
          </w14:textFill>
        </w:rPr>
        <w:t>2025</w:t>
      </w:r>
      <w:r>
        <w:rPr>
          <w:rFonts w:hint="eastAsia" w:ascii="方正仿宋_GBK" w:hAnsi="方正仿宋_GBK" w:eastAsia="方正仿宋_GBK" w:cs="方正仿宋_GBK"/>
          <w:color w:val="000000" w:themeColor="text1"/>
          <w:sz w:val="32"/>
          <w:szCs w:val="32"/>
          <w14:textFill>
            <w14:solidFill>
              <w14:schemeClr w14:val="tx1"/>
            </w14:solidFill>
          </w14:textFill>
        </w:rPr>
        <w:t>年，全区节能环保产业产值达</w:t>
      </w:r>
      <w:r>
        <w:rPr>
          <w:rFonts w:eastAsia="仿宋_GB2312" w:cs="Times New Roman"/>
          <w:color w:val="000000" w:themeColor="text1"/>
          <w:sz w:val="32"/>
          <w:szCs w:val="32"/>
          <w14:textFill>
            <w14:solidFill>
              <w14:schemeClr w14:val="tx1"/>
            </w14:solidFill>
          </w14:textFill>
        </w:rPr>
        <w:t>10</w:t>
      </w:r>
      <w:r>
        <w:rPr>
          <w:rFonts w:hint="eastAsia" w:ascii="方正仿宋_GBK" w:hAnsi="方正仿宋_GBK" w:eastAsia="方正仿宋_GBK" w:cs="方正仿宋_GBK"/>
          <w:color w:val="000000" w:themeColor="text1"/>
          <w:sz w:val="32"/>
          <w:szCs w:val="32"/>
          <w14:textFill>
            <w14:solidFill>
              <w14:schemeClr w14:val="tx1"/>
            </w14:solidFill>
          </w14:textFill>
        </w:rPr>
        <w:t>亿元。</w:t>
      </w:r>
    </w:p>
    <w:p w14:paraId="583E35EC">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（二）发展重点和路径</w:t>
      </w:r>
    </w:p>
    <w:p w14:paraId="65A77DF7">
      <w:pPr>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color w:val="000000" w:themeColor="text1"/>
          <w:sz w:val="32"/>
          <w:szCs w:val="40"/>
          <w14:textFill>
            <w14:solidFill>
              <w14:schemeClr w14:val="tx1"/>
            </w14:solidFill>
          </w14:textFill>
        </w:rPr>
      </w:pPr>
      <w:r>
        <w:rPr>
          <w:rFonts w:ascii="Times New Roman" w:hAnsi="Times New Roman" w:eastAsia="仿宋_GB2312" w:cs="Times New Roman"/>
          <w:b/>
          <w:bCs/>
          <w:color w:val="000000" w:themeColor="text1"/>
          <w:sz w:val="32"/>
          <w:szCs w:val="40"/>
          <w14:textFill>
            <w14:solidFill>
              <w14:schemeClr w14:val="tx1"/>
            </w14:solidFill>
          </w14:textFill>
        </w:rPr>
        <w:t>1</w:t>
      </w:r>
      <w:r>
        <w:rPr>
          <w:rFonts w:hint="eastAsia" w:ascii="Times New Roman" w:hAnsi="Times New Roman" w:eastAsia="仿宋_GB2312" w:cs="Times New Roman"/>
          <w:b/>
          <w:bCs/>
          <w:color w:val="000000" w:themeColor="text1"/>
          <w:sz w:val="32"/>
          <w:szCs w:val="40"/>
          <w14:textFill>
            <w14:solidFill>
              <w14:schemeClr w14:val="tx1"/>
            </w14:solidFill>
          </w14:textFill>
        </w:rPr>
        <w:t>．</w:t>
      </w:r>
      <w:r>
        <w:rPr>
          <w:rFonts w:hint="eastAsia" w:ascii="方正仿宋_GBK" w:hAnsi="方正仿宋_GBK" w:eastAsia="方正仿宋_GBK" w:cs="方正仿宋_GBK"/>
          <w:b/>
          <w:bCs/>
          <w:color w:val="000000" w:themeColor="text1"/>
          <w:sz w:val="32"/>
          <w:szCs w:val="40"/>
          <w14:textFill>
            <w14:solidFill>
              <w14:schemeClr w14:val="tx1"/>
            </w14:solidFill>
          </w14:textFill>
        </w:rPr>
        <w:t>资源循环利用</w:t>
      </w:r>
    </w:p>
    <w:p w14:paraId="659867C3">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40"/>
          <w14:textFill>
            <w14:solidFill>
              <w14:schemeClr w14:val="tx1"/>
            </w14:solidFill>
          </w14:textFill>
        </w:rPr>
      </w:pPr>
      <w:bookmarkStart w:id="59" w:name="_Hlk75860372"/>
      <w:r>
        <w:rPr>
          <w:rFonts w:hint="eastAsia" w:ascii="方正仿宋_GBK" w:hAnsi="方正仿宋_GBK" w:eastAsia="方正仿宋_GBK" w:cs="方正仿宋_GBK"/>
          <w:color w:val="000000" w:themeColor="text1"/>
          <w:sz w:val="32"/>
          <w:szCs w:val="40"/>
          <w14:textFill>
            <w14:solidFill>
              <w14:schemeClr w14:val="tx1"/>
            </w14:solidFill>
          </w14:textFill>
        </w:rPr>
        <w:t>大力发展固废处理、废旧金属回收和加工等节能环保产业。培育发展对粉煤灰、尾矿、石膏（含脱硫石膏）、工业废渣等传统大宗工业固废的深加工利用，延伸发展废石、水泥基材料、有机化肥等建材、农业无害化领域应用。鼓励企业提升粉煤灰生产砌块、加气混凝土等新型建材生产工艺水平、提高产品质量。推广脱硫石膏等工业副产石膏替代天然石膏在建材领域的应用。加大对生活垃圾、建筑垃圾等领域循环利用力度，探索发展热电联产、粗骨料、灰砖、塑料颗粒等领域，扩大义安资源循环利用产业规模。加快推进资源综合利用技术和装备研发，开发资源高效化、高价值化利用技术与工艺，推广粉煤灰提取矿物、粉煤灰碳回收等工艺技术，提高企业生产效益。</w:t>
      </w:r>
      <w:bookmarkEnd w:id="59"/>
    </w:p>
    <w:p w14:paraId="22D1876C">
      <w:pPr>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b/>
          <w:bCs/>
          <w:color w:val="000000" w:themeColor="text1"/>
          <w:sz w:val="32"/>
          <w:szCs w:val="40"/>
          <w14:textFill>
            <w14:solidFill>
              <w14:schemeClr w14:val="tx1"/>
            </w14:solidFill>
          </w14:textFill>
        </w:rPr>
      </w:pPr>
      <w:r>
        <w:rPr>
          <w:rFonts w:ascii="Times New Roman" w:hAnsi="Times New Roman" w:eastAsia="仿宋_GB2312" w:cs="Times New Roman"/>
          <w:b/>
          <w:bCs/>
          <w:color w:val="000000" w:themeColor="text1"/>
          <w:sz w:val="32"/>
          <w:szCs w:val="40"/>
          <w14:textFill>
            <w14:solidFill>
              <w14:schemeClr w14:val="tx1"/>
            </w14:solidFill>
          </w14:textFill>
        </w:rPr>
        <w:t>2</w:t>
      </w:r>
      <w:r>
        <w:rPr>
          <w:rFonts w:hint="eastAsia" w:ascii="Times New Roman" w:hAnsi="Times New Roman" w:eastAsia="仿宋_GB2312" w:cs="Times New Roman"/>
          <w:b/>
          <w:bCs/>
          <w:color w:val="000000" w:themeColor="text1"/>
          <w:sz w:val="32"/>
          <w:szCs w:val="40"/>
          <w14:textFill>
            <w14:solidFill>
              <w14:schemeClr w14:val="tx1"/>
            </w14:solidFill>
          </w14:textFill>
        </w:rPr>
        <w:t>．</w:t>
      </w:r>
      <w:r>
        <w:rPr>
          <w:rFonts w:hint="eastAsia" w:ascii="方正仿宋_GBK" w:hAnsi="方正仿宋_GBK" w:eastAsia="方正仿宋_GBK" w:cs="方正仿宋_GBK"/>
          <w:b/>
          <w:bCs/>
          <w:color w:val="000000" w:themeColor="text1"/>
          <w:sz w:val="32"/>
          <w:szCs w:val="40"/>
          <w14:textFill>
            <w14:solidFill>
              <w14:schemeClr w14:val="tx1"/>
            </w14:solidFill>
          </w14:textFill>
        </w:rPr>
        <w:t>节能环保设备</w:t>
      </w:r>
    </w:p>
    <w:p w14:paraId="5B44FD12">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40"/>
          <w14:textFill>
            <w14:solidFill>
              <w14:schemeClr w14:val="tx1"/>
            </w14:solidFill>
          </w14:textFill>
        </w:rPr>
      </w:pPr>
      <w:bookmarkStart w:id="60" w:name="_Hlk75860387"/>
      <w:r>
        <w:rPr>
          <w:rFonts w:hint="eastAsia" w:ascii="方正仿宋_GBK" w:hAnsi="方正仿宋_GBK" w:eastAsia="方正仿宋_GBK" w:cs="方正仿宋_GBK"/>
          <w:color w:val="000000" w:themeColor="text1"/>
          <w:sz w:val="32"/>
          <w:szCs w:val="40"/>
          <w14:textFill>
            <w14:solidFill>
              <w14:schemeClr w14:val="tx1"/>
            </w14:solidFill>
          </w14:textFill>
        </w:rPr>
        <w:t>做大做强闸门、阀门等领域产品。支持企业规模化生产耐高温、耐高压、耐火阀门产品，提升对江浙水工设备产业配套能力。以集群化为目标，鼓励企业延伸发展电站阀门、化工阀门等高附加值领域；加大与温州阀门等行业协会对接联系，通过以商招商、委托招商、领导带头招商等方式，大力引入温州等地阀门、闸门领域环保设备生产企业，壮大本地产业规模。引导企业加强与合工大、合肥环境保护科学研究所等高校研究所合作，共建以阀门为核心配套的产学研基地，开发具有知识产权的阀门产品，提升产品竞争力。鼓励企业加大技改力度，推广自动焊接、无钴焊接、智能管控技术等自动化生产技术，提升企业生产效率。</w:t>
      </w:r>
    </w:p>
    <w:bookmarkEnd w:id="60"/>
    <w:p w14:paraId="00AD7648">
      <w:pPr>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b/>
          <w:bCs/>
          <w:color w:val="000000" w:themeColor="text1"/>
          <w:sz w:val="32"/>
          <w:szCs w:val="40"/>
          <w14:textFill>
            <w14:solidFill>
              <w14:schemeClr w14:val="tx1"/>
            </w14:solidFill>
          </w14:textFill>
        </w:rPr>
      </w:pPr>
      <w:r>
        <w:rPr>
          <w:rFonts w:ascii="Times New Roman" w:hAnsi="Times New Roman" w:eastAsia="仿宋_GB2312" w:cs="Times New Roman"/>
          <w:b/>
          <w:bCs/>
          <w:color w:val="000000" w:themeColor="text1"/>
          <w:sz w:val="32"/>
          <w:szCs w:val="40"/>
          <w14:textFill>
            <w14:solidFill>
              <w14:schemeClr w14:val="tx1"/>
            </w14:solidFill>
          </w14:textFill>
        </w:rPr>
        <w:t>3</w:t>
      </w:r>
      <w:r>
        <w:rPr>
          <w:rFonts w:hint="eastAsia" w:ascii="Times New Roman" w:hAnsi="Times New Roman" w:eastAsia="仿宋_GB2312" w:cs="Times New Roman"/>
          <w:b/>
          <w:bCs/>
          <w:color w:val="000000" w:themeColor="text1"/>
          <w:sz w:val="32"/>
          <w:szCs w:val="40"/>
          <w14:textFill>
            <w14:solidFill>
              <w14:schemeClr w14:val="tx1"/>
            </w14:solidFill>
          </w14:textFill>
        </w:rPr>
        <w:t>．</w:t>
      </w:r>
      <w:r>
        <w:rPr>
          <w:rFonts w:hint="eastAsia" w:ascii="方正仿宋_GBK" w:hAnsi="方正仿宋_GBK" w:eastAsia="方正仿宋_GBK" w:cs="方正仿宋_GBK"/>
          <w:b/>
          <w:bCs/>
          <w:color w:val="000000" w:themeColor="text1"/>
          <w:sz w:val="32"/>
          <w:szCs w:val="40"/>
          <w14:textFill>
            <w14:solidFill>
              <w14:schemeClr w14:val="tx1"/>
            </w14:solidFill>
          </w14:textFill>
        </w:rPr>
        <w:t>绿色节能建筑材料</w:t>
      </w:r>
    </w:p>
    <w:p w14:paraId="7AE75C7B">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40"/>
          <w14:textFill>
            <w14:solidFill>
              <w14:schemeClr w14:val="tx1"/>
            </w14:solidFill>
          </w14:textFill>
        </w:rPr>
      </w:pPr>
      <w:bookmarkStart w:id="61" w:name="_Hlk75860400"/>
      <w:r>
        <w:rPr>
          <w:rFonts w:hint="eastAsia" w:ascii="方正仿宋_GBK" w:hAnsi="方正仿宋_GBK" w:eastAsia="方正仿宋_GBK" w:cs="方正仿宋_GBK"/>
          <w:color w:val="000000" w:themeColor="text1"/>
          <w:sz w:val="32"/>
          <w:szCs w:val="40"/>
          <w14:textFill>
            <w14:solidFill>
              <w14:schemeClr w14:val="tx1"/>
            </w14:solidFill>
          </w14:textFill>
        </w:rPr>
        <w:t>重点发展节能玻璃、外墙保温材料、新型墙体材料、建筑装饰装修材料和建筑钢结构等绿色节能建筑材料领域。支持企业扩大复合保温砌块、气混凝土砌块、轻质防火保温材料、节能门窗、节能镀膜玻璃、消纳固废的混凝土及干混砂浆等绿色建材生产规模，提高绿色节能建筑材料市场比重。鼓励企业加快产品转型升级步伐，加大与中国建筑研究院、合工大等高校研究所合作，开展计算机模拟优化技术、装配式绿色建筑技术等研究，研发生产绿色装配式建筑材料领域产品，壮大节能建材产业规模。加强绿色建材生产、流通和使用环节的质量监管和稽查，提升节能建材产品质量</w:t>
      </w:r>
      <w:bookmarkEnd w:id="61"/>
      <w:r>
        <w:rPr>
          <w:rFonts w:hint="eastAsia" w:ascii="方正仿宋_GBK" w:hAnsi="方正仿宋_GBK" w:eastAsia="方正仿宋_GBK" w:cs="方正仿宋_GBK"/>
          <w:color w:val="000000" w:themeColor="text1"/>
          <w:sz w:val="32"/>
          <w:szCs w:val="40"/>
          <w14:textFill>
            <w14:solidFill>
              <w14:schemeClr w14:val="tx1"/>
            </w14:solidFill>
          </w14:textFill>
        </w:rPr>
        <w:t>。</w:t>
      </w:r>
    </w:p>
    <w:tbl>
      <w:tblPr>
        <w:tblStyle w:val="14"/>
        <w:tblW w:w="877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779"/>
      </w:tblGrid>
      <w:tr w14:paraId="4FCB1C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779" w:type="dxa"/>
            <w:shd w:val="clear" w:color="auto" w:fill="auto"/>
            <w:vAlign w:val="center"/>
          </w:tcPr>
          <w:p w14:paraId="115A49BA">
            <w:pPr>
              <w:spacing w:line="400" w:lineRule="exact"/>
              <w:ind w:firstLine="562"/>
              <w:jc w:val="center"/>
              <w:rPr>
                <w:rFonts w:ascii="方正小标宋简体" w:hAnsi="Times New Roman" w:eastAsia="方正小标宋简体" w:cs="Times New Roman"/>
                <w:color w:val="000000" w:themeColor="text1"/>
                <w:sz w:val="32"/>
                <w:szCs w:val="32"/>
                <w14:textFill>
                  <w14:solidFill>
                    <w14:schemeClr w14:val="tx1"/>
                  </w14:solidFill>
                </w14:textFill>
              </w:rPr>
            </w:pPr>
            <w:r>
              <w:rPr>
                <w:rFonts w:ascii="方正小标宋简体" w:hAnsi="Times New Roman" w:eastAsia="方正小标宋简体" w:cs="Times New Roman"/>
                <w:bCs/>
                <w:color w:val="000000" w:themeColor="text1"/>
                <w:sz w:val="32"/>
                <w:szCs w:val="32"/>
                <w14:textFill>
                  <w14:solidFill>
                    <w14:schemeClr w14:val="tx1"/>
                  </w14:solidFill>
                </w14:textFill>
              </w:rPr>
              <w:t>专栏</w:t>
            </w:r>
            <w:r>
              <w:rPr>
                <w:rFonts w:ascii="Times New Roman" w:hAnsi="Times New Roman" w:eastAsia="方正小标宋简体" w:cs="Times New Roman"/>
                <w:bCs/>
                <w:color w:val="000000" w:themeColor="text1"/>
                <w:sz w:val="32"/>
                <w:szCs w:val="32"/>
                <w14:textFill>
                  <w14:solidFill>
                    <w14:schemeClr w14:val="tx1"/>
                  </w14:solidFill>
                </w14:textFill>
              </w:rPr>
              <w:t>6</w:t>
            </w:r>
            <w:r>
              <w:rPr>
                <w:rFonts w:ascii="方正小标宋简体" w:hAnsi="Times New Roman" w:eastAsia="方正小标宋简体" w:cs="Times New Roman"/>
                <w:bCs/>
                <w:color w:val="000000" w:themeColor="text1"/>
                <w:sz w:val="32"/>
                <w:szCs w:val="32"/>
                <w14:textFill>
                  <w14:solidFill>
                    <w14:schemeClr w14:val="tx1"/>
                  </w14:solidFill>
                </w14:textFill>
              </w:rPr>
              <w:t>：节能环保项目</w:t>
            </w:r>
          </w:p>
        </w:tc>
      </w:tr>
      <w:tr w14:paraId="5E3430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71" w:hRule="atLeast"/>
          <w:jc w:val="center"/>
        </w:trPr>
        <w:tc>
          <w:tcPr>
            <w:tcW w:w="8779" w:type="dxa"/>
            <w:shd w:val="clear" w:color="auto" w:fill="auto"/>
            <w:vAlign w:val="center"/>
          </w:tcPr>
          <w:p w14:paraId="3E0E7E77">
            <w:pPr>
              <w:spacing w:line="500" w:lineRule="exact"/>
              <w:rPr>
                <w:rFonts w:ascii="宋体" w:hAnsi="宋体" w:eastAsia="宋体" w:cs="Times New Roman"/>
                <w:bCs/>
                <w:color w:val="000000" w:themeColor="text1"/>
                <w:sz w:val="28"/>
                <w:szCs w:val="28"/>
                <w14:textFill>
                  <w14:solidFill>
                    <w14:schemeClr w14:val="tx1"/>
                  </w14:solidFill>
                </w14:textFill>
              </w:rPr>
            </w:pPr>
            <w:r>
              <w:rPr>
                <w:rFonts w:ascii="宋体" w:hAnsi="宋体" w:eastAsia="宋体" w:cs="Times New Roman"/>
                <w:b/>
                <w:bCs/>
                <w:color w:val="000000" w:themeColor="text1"/>
                <w:sz w:val="28"/>
                <w:szCs w:val="28"/>
                <w14:textFill>
                  <w14:solidFill>
                    <w14:schemeClr w14:val="tx1"/>
                  </w14:solidFill>
                </w14:textFill>
              </w:rPr>
              <w:t>资源循环利用类项目：</w:t>
            </w:r>
            <w:r>
              <w:rPr>
                <w:rFonts w:ascii="宋体" w:hAnsi="宋体" w:eastAsia="宋体" w:cs="Times New Roman"/>
                <w:bCs/>
                <w:color w:val="000000" w:themeColor="text1"/>
                <w:sz w:val="28"/>
                <w:szCs w:val="28"/>
                <w14:textFill>
                  <w14:solidFill>
                    <w14:schemeClr w14:val="tx1"/>
                  </w14:solidFill>
                </w14:textFill>
              </w:rPr>
              <w:t>铜基二次资源清洁再生环保、新桥矿业公司固体废弃物综合利用一期项目、</w:t>
            </w:r>
            <w:r>
              <w:rPr>
                <w:rFonts w:ascii="Times New Roman" w:hAnsi="Times New Roman" w:eastAsia="宋体" w:cs="Times New Roman"/>
                <w:bCs/>
                <w:color w:val="000000" w:themeColor="text1"/>
                <w:sz w:val="28"/>
                <w:szCs w:val="28"/>
                <w14:textFill>
                  <w14:solidFill>
                    <w14:schemeClr w14:val="tx1"/>
                  </w14:solidFill>
                </w14:textFill>
              </w:rPr>
              <w:t>100</w:t>
            </w:r>
            <w:r>
              <w:rPr>
                <w:rFonts w:ascii="宋体" w:hAnsi="宋体" w:eastAsia="宋体" w:cs="Times New Roman"/>
                <w:bCs/>
                <w:color w:val="000000" w:themeColor="text1"/>
                <w:sz w:val="28"/>
                <w:szCs w:val="28"/>
                <w14:textFill>
                  <w14:solidFill>
                    <w14:schemeClr w14:val="tx1"/>
                  </w14:solidFill>
                </w14:textFill>
              </w:rPr>
              <w:t>万吨/年建筑垃圾资源化再利用、年产</w:t>
            </w:r>
            <w:r>
              <w:rPr>
                <w:rFonts w:ascii="Times New Roman" w:hAnsi="Times New Roman" w:eastAsia="宋体" w:cs="Times New Roman"/>
                <w:bCs/>
                <w:color w:val="000000" w:themeColor="text1"/>
                <w:sz w:val="28"/>
                <w:szCs w:val="28"/>
                <w14:textFill>
                  <w14:solidFill>
                    <w14:schemeClr w14:val="tx1"/>
                  </w14:solidFill>
                </w14:textFill>
              </w:rPr>
              <w:t>100</w:t>
            </w:r>
            <w:r>
              <w:rPr>
                <w:rFonts w:ascii="宋体" w:hAnsi="宋体" w:eastAsia="宋体" w:cs="Times New Roman"/>
                <w:bCs/>
                <w:color w:val="000000" w:themeColor="text1"/>
                <w:sz w:val="28"/>
                <w:szCs w:val="28"/>
                <w14:textFill>
                  <w14:solidFill>
                    <w14:schemeClr w14:val="tx1"/>
                  </w14:solidFill>
                </w14:textFill>
              </w:rPr>
              <w:t>万吨建筑垃圾回收综合利用、年产</w:t>
            </w:r>
            <w:r>
              <w:rPr>
                <w:rFonts w:ascii="Times New Roman" w:hAnsi="Times New Roman" w:eastAsia="宋体" w:cs="Times New Roman"/>
                <w:bCs/>
                <w:color w:val="000000" w:themeColor="text1"/>
                <w:sz w:val="28"/>
                <w:szCs w:val="28"/>
                <w14:textFill>
                  <w14:solidFill>
                    <w14:schemeClr w14:val="tx1"/>
                  </w14:solidFill>
                </w14:textFill>
              </w:rPr>
              <w:t>80</w:t>
            </w:r>
            <w:r>
              <w:rPr>
                <w:rFonts w:ascii="宋体" w:hAnsi="宋体" w:eastAsia="宋体" w:cs="Times New Roman"/>
                <w:bCs/>
                <w:color w:val="000000" w:themeColor="text1"/>
                <w:sz w:val="28"/>
                <w:szCs w:val="28"/>
                <w14:textFill>
                  <w14:solidFill>
                    <w14:schemeClr w14:val="tx1"/>
                  </w14:solidFill>
                </w14:textFill>
              </w:rPr>
              <w:t>万吨高炉矿渣超细微粉资源综合循环利用项目、工业废渣综合利用生产超细粒化高炉矿渣项目。</w:t>
            </w:r>
          </w:p>
          <w:p w14:paraId="4D167CF0">
            <w:pPr>
              <w:pStyle w:val="5"/>
              <w:spacing w:line="500" w:lineRule="exact"/>
              <w:ind w:firstLine="0"/>
              <w:rPr>
                <w:rFonts w:ascii="宋体" w:hAnsi="宋体" w:eastAsia="宋体" w:cs="Times New Roman"/>
                <w:bCs/>
                <w:color w:val="000000" w:themeColor="text1"/>
                <w:szCs w:val="28"/>
                <w14:textFill>
                  <w14:solidFill>
                    <w14:schemeClr w14:val="tx1"/>
                  </w14:solidFill>
                </w14:textFill>
              </w:rPr>
            </w:pPr>
            <w:r>
              <w:rPr>
                <w:rFonts w:ascii="宋体" w:hAnsi="宋体" w:eastAsia="宋体" w:cs="Times New Roman"/>
                <w:b/>
                <w:color w:val="000000" w:themeColor="text1"/>
                <w:szCs w:val="28"/>
                <w14:textFill>
                  <w14:solidFill>
                    <w14:schemeClr w14:val="tx1"/>
                  </w14:solidFill>
                </w14:textFill>
              </w:rPr>
              <w:t>节能环保设备类项目</w:t>
            </w:r>
            <w:r>
              <w:rPr>
                <w:rFonts w:ascii="宋体" w:hAnsi="宋体" w:eastAsia="宋体" w:cs="Times New Roman"/>
                <w:bCs/>
                <w:color w:val="000000" w:themeColor="text1"/>
                <w:szCs w:val="28"/>
                <w14:textFill>
                  <w14:solidFill>
                    <w14:schemeClr w14:val="tx1"/>
                  </w14:solidFill>
                </w14:textFill>
              </w:rPr>
              <w:t>：高效特种节能水泵和新型节能调速电机项目、年产</w:t>
            </w:r>
            <w:r>
              <w:rPr>
                <w:rFonts w:eastAsia="宋体" w:cs="Times New Roman"/>
                <w:bCs/>
                <w:color w:val="000000" w:themeColor="text1"/>
                <w:szCs w:val="28"/>
                <w14:textFill>
                  <w14:solidFill>
                    <w14:schemeClr w14:val="tx1"/>
                  </w14:solidFill>
                </w14:textFill>
              </w:rPr>
              <w:t>300</w:t>
            </w:r>
            <w:r>
              <w:rPr>
                <w:rFonts w:ascii="宋体" w:hAnsi="宋体" w:eastAsia="宋体" w:cs="Times New Roman"/>
                <w:bCs/>
                <w:color w:val="000000" w:themeColor="text1"/>
                <w:szCs w:val="28"/>
                <w14:textFill>
                  <w14:solidFill>
                    <w14:schemeClr w14:val="tx1"/>
                  </w14:solidFill>
                </w14:textFill>
              </w:rPr>
              <w:t>套环保设备生产基地项目</w:t>
            </w:r>
            <w:r>
              <w:rPr>
                <w:rFonts w:ascii="宋体" w:hAnsi="宋体" w:eastAsia="宋体" w:cs="Times New Roman"/>
                <w:color w:val="000000" w:themeColor="text1"/>
                <w:szCs w:val="28"/>
                <w14:textFill>
                  <w14:solidFill>
                    <w14:schemeClr w14:val="tx1"/>
                  </w14:solidFill>
                </w14:textFill>
              </w:rPr>
              <w:t>。</w:t>
            </w:r>
          </w:p>
          <w:p w14:paraId="72C3D7A1">
            <w:pPr>
              <w:spacing w:line="500" w:lineRule="exact"/>
              <w:rPr>
                <w:rFonts w:ascii="Times New Roman" w:hAnsi="Times New Roman" w:eastAsia="仿宋_GB2312" w:cs="Times New Roman"/>
                <w:color w:val="000000" w:themeColor="text1"/>
                <w:sz w:val="28"/>
                <w:szCs w:val="28"/>
                <w14:textFill>
                  <w14:solidFill>
                    <w14:schemeClr w14:val="tx1"/>
                  </w14:solidFill>
                </w14:textFill>
              </w:rPr>
            </w:pPr>
            <w:r>
              <w:rPr>
                <w:rFonts w:ascii="宋体" w:hAnsi="宋体" w:eastAsia="宋体" w:cs="Times New Roman"/>
                <w:b/>
                <w:bCs/>
                <w:color w:val="000000" w:themeColor="text1"/>
                <w:sz w:val="28"/>
                <w:szCs w:val="28"/>
                <w14:textFill>
                  <w14:solidFill>
                    <w14:schemeClr w14:val="tx1"/>
                  </w14:solidFill>
                </w14:textFill>
              </w:rPr>
              <w:t>绿色节能建筑材料类项目</w:t>
            </w:r>
            <w:r>
              <w:rPr>
                <w:rFonts w:ascii="宋体" w:hAnsi="宋体" w:eastAsia="宋体" w:cs="Times New Roman"/>
                <w:color w:val="000000" w:themeColor="text1"/>
                <w:sz w:val="28"/>
                <w:szCs w:val="28"/>
                <w14:textFill>
                  <w14:solidFill>
                    <w14:schemeClr w14:val="tx1"/>
                  </w14:solidFill>
                </w14:textFill>
              </w:rPr>
              <w:t>：年产</w:t>
            </w:r>
            <w:r>
              <w:rPr>
                <w:rFonts w:ascii="Times New Roman" w:hAnsi="Times New Roman" w:eastAsia="宋体" w:cs="Times New Roman"/>
                <w:color w:val="000000" w:themeColor="text1"/>
                <w:sz w:val="28"/>
                <w:szCs w:val="28"/>
                <w14:textFill>
                  <w14:solidFill>
                    <w14:schemeClr w14:val="tx1"/>
                  </w14:solidFill>
                </w14:textFill>
              </w:rPr>
              <w:t>2</w:t>
            </w:r>
            <w:r>
              <w:rPr>
                <w:rFonts w:ascii="宋体" w:hAnsi="宋体" w:eastAsia="宋体" w:cs="Times New Roman"/>
                <w:color w:val="000000" w:themeColor="text1"/>
                <w:sz w:val="28"/>
                <w:szCs w:val="28"/>
                <w14:textFill>
                  <w14:solidFill>
                    <w14:schemeClr w14:val="tx1"/>
                  </w14:solidFill>
                </w14:textFill>
              </w:rPr>
              <w:t>亿标块新型墙体材料项目、年生产</w:t>
            </w:r>
            <w:r>
              <w:rPr>
                <w:rFonts w:ascii="Times New Roman" w:hAnsi="Times New Roman" w:eastAsia="宋体" w:cs="Times New Roman"/>
                <w:color w:val="000000" w:themeColor="text1"/>
                <w:sz w:val="28"/>
                <w:szCs w:val="28"/>
                <w14:textFill>
                  <w14:solidFill>
                    <w14:schemeClr w14:val="tx1"/>
                  </w14:solidFill>
                </w14:textFill>
              </w:rPr>
              <w:t>30</w:t>
            </w:r>
            <w:r>
              <w:rPr>
                <w:rFonts w:ascii="宋体" w:hAnsi="宋体" w:eastAsia="宋体" w:cs="Times New Roman"/>
                <w:color w:val="000000" w:themeColor="text1"/>
                <w:sz w:val="28"/>
                <w:szCs w:val="28"/>
                <w14:textFill>
                  <w14:solidFill>
                    <w14:schemeClr w14:val="tx1"/>
                  </w14:solidFill>
                </w14:textFill>
              </w:rPr>
              <w:t>万吨磷石膏新型轻钢建筑墙体工程、三条熟料生产线超低排放技改项目、新型环保超细微粉材料、年产</w:t>
            </w:r>
            <w:r>
              <w:rPr>
                <w:rFonts w:ascii="Times New Roman" w:hAnsi="Times New Roman" w:eastAsia="宋体" w:cs="Times New Roman"/>
                <w:color w:val="000000" w:themeColor="text1"/>
                <w:sz w:val="28"/>
                <w:szCs w:val="28"/>
                <w14:textFill>
                  <w14:solidFill>
                    <w14:schemeClr w14:val="tx1"/>
                  </w14:solidFill>
                </w14:textFill>
              </w:rPr>
              <w:t>3</w:t>
            </w:r>
            <w:r>
              <w:rPr>
                <w:rFonts w:ascii="宋体" w:hAnsi="宋体" w:eastAsia="宋体" w:cs="Times New Roman"/>
                <w:color w:val="000000" w:themeColor="text1"/>
                <w:sz w:val="28"/>
                <w:szCs w:val="28"/>
                <w14:textFill>
                  <w14:solidFill>
                    <w14:schemeClr w14:val="tx1"/>
                  </w14:solidFill>
                </w14:textFill>
              </w:rPr>
              <w:t>万吨防火材料、年产</w:t>
            </w:r>
            <w:r>
              <w:rPr>
                <w:rFonts w:ascii="Times New Roman" w:hAnsi="Times New Roman" w:eastAsia="宋体" w:cs="Times New Roman"/>
                <w:color w:val="000000" w:themeColor="text1"/>
                <w:sz w:val="28"/>
                <w:szCs w:val="28"/>
                <w14:textFill>
                  <w14:solidFill>
                    <w14:schemeClr w14:val="tx1"/>
                  </w14:solidFill>
                </w14:textFill>
              </w:rPr>
              <w:t>40</w:t>
            </w:r>
            <w:r>
              <w:rPr>
                <w:rFonts w:ascii="宋体" w:hAnsi="宋体" w:eastAsia="宋体" w:cs="Times New Roman"/>
                <w:color w:val="000000" w:themeColor="text1"/>
                <w:sz w:val="28"/>
                <w:szCs w:val="28"/>
                <w14:textFill>
                  <w14:solidFill>
                    <w14:schemeClr w14:val="tx1"/>
                  </w14:solidFill>
                </w14:textFill>
              </w:rPr>
              <w:t>万吨海绵城市环保材料、装配式</w:t>
            </w:r>
            <w:r>
              <w:rPr>
                <w:rFonts w:ascii="Times New Roman" w:hAnsi="Times New Roman" w:eastAsia="宋体" w:cs="Times New Roman"/>
                <w:color w:val="000000" w:themeColor="text1"/>
                <w:sz w:val="28"/>
                <w:szCs w:val="28"/>
                <w14:textFill>
                  <w14:solidFill>
                    <w14:schemeClr w14:val="tx1"/>
                  </w14:solidFill>
                </w14:textFill>
              </w:rPr>
              <w:t>PC</w:t>
            </w:r>
            <w:r>
              <w:rPr>
                <w:rFonts w:ascii="宋体" w:hAnsi="宋体" w:eastAsia="宋体" w:cs="Times New Roman"/>
                <w:color w:val="000000" w:themeColor="text1"/>
                <w:sz w:val="28"/>
                <w:szCs w:val="28"/>
                <w14:textFill>
                  <w14:solidFill>
                    <w14:schemeClr w14:val="tx1"/>
                  </w14:solidFill>
                </w14:textFill>
              </w:rPr>
              <w:t>构件生产基地项目。</w:t>
            </w:r>
          </w:p>
        </w:tc>
      </w:tr>
    </w:tbl>
    <w:p w14:paraId="13367A65">
      <w:pPr>
        <w:spacing w:before="312" w:beforeLines="100" w:line="600" w:lineRule="exact"/>
        <w:ind w:firstLine="561"/>
        <w:jc w:val="center"/>
        <w:rPr>
          <w:rFonts w:ascii="方正小标宋简体" w:hAnsi="Times New Roman" w:eastAsia="方正小标宋简体" w:cs="Times New Roman"/>
          <w:bCs/>
          <w:color w:val="000000" w:themeColor="text1"/>
          <w:sz w:val="32"/>
          <w:szCs w:val="32"/>
          <w14:textFill>
            <w14:solidFill>
              <w14:schemeClr w14:val="tx1"/>
            </w14:solidFill>
          </w14:textFill>
        </w:rPr>
      </w:pPr>
      <w:r>
        <w:rPr>
          <w:rFonts w:ascii="方正小标宋简体" w:hAnsi="Times New Roman" w:eastAsia="方正小标宋简体" w:cs="Times New Roman"/>
          <w:bCs/>
          <w:color w:val="000000" w:themeColor="text1"/>
          <w:sz w:val="32"/>
          <w:szCs w:val="32"/>
          <w14:textFill>
            <w14:solidFill>
              <w14:schemeClr w14:val="tx1"/>
            </w14:solidFill>
          </w14:textFill>
        </w:rPr>
        <w:t>表</w:t>
      </w:r>
      <w:r>
        <w:rPr>
          <w:rFonts w:ascii="Times New Roman" w:hAnsi="Times New Roman" w:eastAsia="方正小标宋简体" w:cs="Times New Roman"/>
          <w:bCs/>
          <w:color w:val="000000" w:themeColor="text1"/>
          <w:sz w:val="32"/>
          <w:szCs w:val="32"/>
          <w14:textFill>
            <w14:solidFill>
              <w14:schemeClr w14:val="tx1"/>
            </w14:solidFill>
          </w14:textFill>
        </w:rPr>
        <w:t>6</w:t>
      </w:r>
      <w:r>
        <w:rPr>
          <w:rFonts w:ascii="方正小标宋简体" w:hAnsi="Times New Roman" w:eastAsia="方正小标宋简体" w:cs="Times New Roman"/>
          <w:bCs/>
          <w:color w:val="000000" w:themeColor="text1"/>
          <w:sz w:val="32"/>
          <w:szCs w:val="32"/>
          <w14:textFill>
            <w14:solidFill>
              <w14:schemeClr w14:val="tx1"/>
            </w14:solidFill>
          </w14:textFill>
        </w:rPr>
        <w:t xml:space="preserve"> 节能环保产业链招商目标企业库</w:t>
      </w:r>
    </w:p>
    <w:tbl>
      <w:tblPr>
        <w:tblStyle w:val="27"/>
        <w:tblW w:w="486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694"/>
        <w:gridCol w:w="1963"/>
        <w:gridCol w:w="3127"/>
        <w:gridCol w:w="2031"/>
      </w:tblGrid>
      <w:tr w14:paraId="4C1A5B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961" w:type="pct"/>
            <w:shd w:val="clear" w:color="auto" w:fill="auto"/>
            <w:vAlign w:val="center"/>
          </w:tcPr>
          <w:p w14:paraId="2C0235E1">
            <w:pPr>
              <w:spacing w:line="300" w:lineRule="exact"/>
              <w:jc w:val="center"/>
              <w:rPr>
                <w:rFonts w:ascii="Times New Roman" w:hAnsi="Times New Roman" w:eastAsia="黑体" w:cs="Times New Roman"/>
                <w:bCs/>
                <w:color w:val="000000" w:themeColor="text1"/>
                <w:kern w:val="0"/>
                <w:sz w:val="24"/>
                <w:szCs w:val="24"/>
                <w14:textFill>
                  <w14:solidFill>
                    <w14:schemeClr w14:val="tx1"/>
                  </w14:solidFill>
                </w14:textFill>
              </w:rPr>
            </w:pPr>
            <w:bookmarkStart w:id="62" w:name="_Toc76137884"/>
            <w:bookmarkStart w:id="63" w:name="_Toc76137913"/>
            <w:r>
              <w:rPr>
                <w:rFonts w:ascii="Times New Roman" w:hAnsi="Times New Roman" w:eastAsia="黑体" w:cs="Times New Roman"/>
                <w:bCs/>
                <w:color w:val="000000" w:themeColor="text1"/>
                <w:kern w:val="0"/>
                <w:sz w:val="24"/>
                <w:szCs w:val="24"/>
                <w14:textFill>
                  <w14:solidFill>
                    <w14:schemeClr w14:val="tx1"/>
                  </w14:solidFill>
                </w14:textFill>
              </w:rPr>
              <w:t>领域</w:t>
            </w:r>
          </w:p>
        </w:tc>
        <w:tc>
          <w:tcPr>
            <w:tcW w:w="1113" w:type="pct"/>
            <w:shd w:val="clear" w:color="auto" w:fill="auto"/>
            <w:vAlign w:val="center"/>
          </w:tcPr>
          <w:p w14:paraId="6BD9D3A0">
            <w:pPr>
              <w:spacing w:line="300" w:lineRule="exact"/>
              <w:jc w:val="center"/>
              <w:rPr>
                <w:rFonts w:ascii="Times New Roman" w:hAnsi="Times New Roman" w:eastAsia="黑体" w:cs="Times New Roman"/>
                <w:bCs/>
                <w:color w:val="000000" w:themeColor="text1"/>
                <w:kern w:val="0"/>
                <w:sz w:val="24"/>
                <w:szCs w:val="24"/>
                <w14:textFill>
                  <w14:solidFill>
                    <w14:schemeClr w14:val="tx1"/>
                  </w14:solidFill>
                </w14:textFill>
              </w:rPr>
            </w:pPr>
            <w:r>
              <w:rPr>
                <w:rFonts w:ascii="Times New Roman" w:hAnsi="Times New Roman" w:eastAsia="黑体" w:cs="Times New Roman"/>
                <w:bCs/>
                <w:color w:val="000000" w:themeColor="text1"/>
                <w:kern w:val="0"/>
                <w:sz w:val="24"/>
                <w:szCs w:val="24"/>
                <w14:textFill>
                  <w14:solidFill>
                    <w14:schemeClr w14:val="tx1"/>
                  </w14:solidFill>
                </w14:textFill>
              </w:rPr>
              <w:t>企业名称</w:t>
            </w:r>
          </w:p>
        </w:tc>
        <w:tc>
          <w:tcPr>
            <w:tcW w:w="1773" w:type="pct"/>
            <w:shd w:val="clear" w:color="auto" w:fill="auto"/>
            <w:vAlign w:val="center"/>
          </w:tcPr>
          <w:p w14:paraId="1E9887A1">
            <w:pPr>
              <w:spacing w:line="300" w:lineRule="exact"/>
              <w:jc w:val="center"/>
              <w:rPr>
                <w:rFonts w:ascii="Times New Roman" w:hAnsi="Times New Roman" w:eastAsia="黑体" w:cs="Times New Roman"/>
                <w:bCs/>
                <w:color w:val="000000" w:themeColor="text1"/>
                <w:kern w:val="0"/>
                <w:sz w:val="24"/>
                <w:szCs w:val="24"/>
                <w14:textFill>
                  <w14:solidFill>
                    <w14:schemeClr w14:val="tx1"/>
                  </w14:solidFill>
                </w14:textFill>
              </w:rPr>
            </w:pPr>
            <w:r>
              <w:rPr>
                <w:rFonts w:ascii="Times New Roman" w:hAnsi="Times New Roman" w:eastAsia="黑体" w:cs="Times New Roman"/>
                <w:bCs/>
                <w:color w:val="000000" w:themeColor="text1"/>
                <w:kern w:val="0"/>
                <w:sz w:val="24"/>
                <w:szCs w:val="24"/>
                <w14:textFill>
                  <w14:solidFill>
                    <w14:schemeClr w14:val="tx1"/>
                  </w14:solidFill>
                </w14:textFill>
              </w:rPr>
              <w:t>主营业务范围</w:t>
            </w:r>
          </w:p>
        </w:tc>
        <w:tc>
          <w:tcPr>
            <w:tcW w:w="1152" w:type="pct"/>
            <w:shd w:val="clear" w:color="auto" w:fill="auto"/>
            <w:vAlign w:val="center"/>
          </w:tcPr>
          <w:p w14:paraId="1AF0CCDF">
            <w:pPr>
              <w:spacing w:line="300" w:lineRule="exact"/>
              <w:jc w:val="center"/>
              <w:rPr>
                <w:rFonts w:ascii="Times New Roman" w:hAnsi="Times New Roman" w:eastAsia="黑体" w:cs="Times New Roman"/>
                <w:bCs/>
                <w:color w:val="000000" w:themeColor="text1"/>
                <w:kern w:val="0"/>
                <w:sz w:val="24"/>
                <w:szCs w:val="24"/>
                <w14:textFill>
                  <w14:solidFill>
                    <w14:schemeClr w14:val="tx1"/>
                  </w14:solidFill>
                </w14:textFill>
              </w:rPr>
            </w:pPr>
            <w:r>
              <w:rPr>
                <w:rFonts w:ascii="Times New Roman" w:hAnsi="Times New Roman" w:eastAsia="黑体" w:cs="Times New Roman"/>
                <w:bCs/>
                <w:color w:val="000000" w:themeColor="text1"/>
                <w:kern w:val="0"/>
                <w:sz w:val="24"/>
                <w:szCs w:val="24"/>
                <w14:textFill>
                  <w14:solidFill>
                    <w14:schemeClr w14:val="tx1"/>
                  </w14:solidFill>
                </w14:textFill>
              </w:rPr>
              <w:t>引进方向</w:t>
            </w:r>
          </w:p>
          <w:p w14:paraId="5C97F18B">
            <w:pPr>
              <w:spacing w:line="300" w:lineRule="exact"/>
              <w:jc w:val="center"/>
              <w:rPr>
                <w:rFonts w:ascii="Times New Roman" w:hAnsi="Times New Roman" w:eastAsia="黑体" w:cs="Times New Roman"/>
                <w:bCs/>
                <w:color w:val="000000" w:themeColor="text1"/>
                <w:kern w:val="0"/>
                <w:sz w:val="24"/>
                <w:szCs w:val="24"/>
                <w14:textFill>
                  <w14:solidFill>
                    <w14:schemeClr w14:val="tx1"/>
                  </w14:solidFill>
                </w14:textFill>
              </w:rPr>
            </w:pPr>
            <w:r>
              <w:rPr>
                <w:rFonts w:ascii="Times New Roman" w:hAnsi="Times New Roman" w:eastAsia="黑体" w:cs="Times New Roman"/>
                <w:bCs/>
                <w:color w:val="000000" w:themeColor="text1"/>
                <w:kern w:val="0"/>
                <w:sz w:val="24"/>
                <w:szCs w:val="24"/>
                <w14:textFill>
                  <w14:solidFill>
                    <w14:schemeClr w14:val="tx1"/>
                  </w14:solidFill>
                </w14:textFill>
              </w:rPr>
              <w:t>（强链延链补链）</w:t>
            </w:r>
          </w:p>
        </w:tc>
      </w:tr>
      <w:tr w14:paraId="023DA4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961" w:type="pct"/>
            <w:vMerge w:val="restart"/>
            <w:shd w:val="clear" w:color="auto" w:fill="auto"/>
            <w:vAlign w:val="center"/>
          </w:tcPr>
          <w:p w14:paraId="2A2E8CB2">
            <w:pPr>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资源循环利用</w:t>
            </w:r>
          </w:p>
        </w:tc>
        <w:tc>
          <w:tcPr>
            <w:tcW w:w="1113" w:type="pct"/>
            <w:shd w:val="clear" w:color="auto" w:fill="auto"/>
            <w:vAlign w:val="center"/>
          </w:tcPr>
          <w:p w14:paraId="01008C15">
            <w:pPr>
              <w:spacing w:line="320" w:lineRule="exact"/>
              <w:jc w:val="center"/>
              <w:rPr>
                <w:rFonts w:ascii="宋体" w:hAnsi="宋体" w:eastAsia="宋体" w:cs="Times New Roman"/>
                <w:color w:val="000000" w:themeColor="text1"/>
                <w:kern w:val="0"/>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东华工程科技</w:t>
            </w:r>
          </w:p>
          <w:p w14:paraId="56D840B6">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股份有限公司</w:t>
            </w:r>
          </w:p>
        </w:tc>
        <w:tc>
          <w:tcPr>
            <w:tcW w:w="1773" w:type="pct"/>
            <w:shd w:val="clear" w:color="auto" w:fill="auto"/>
            <w:vAlign w:val="center"/>
          </w:tcPr>
          <w:p w14:paraId="41375ADD">
            <w:pPr>
              <w:spacing w:line="320" w:lineRule="exact"/>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工业废水处理</w:t>
            </w:r>
          </w:p>
        </w:tc>
        <w:tc>
          <w:tcPr>
            <w:tcW w:w="1152" w:type="pct"/>
            <w:shd w:val="clear" w:color="auto" w:fill="auto"/>
            <w:vAlign w:val="center"/>
          </w:tcPr>
          <w:p w14:paraId="03A59479">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强链：废水处理</w:t>
            </w:r>
          </w:p>
        </w:tc>
      </w:tr>
      <w:tr w14:paraId="4FDEB5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961" w:type="pct"/>
            <w:vMerge w:val="continue"/>
            <w:shd w:val="clear" w:color="auto" w:fill="auto"/>
            <w:vAlign w:val="center"/>
          </w:tcPr>
          <w:p w14:paraId="11E3359A">
            <w:pPr>
              <w:jc w:val="center"/>
              <w:rPr>
                <w:rFonts w:ascii="宋体" w:hAnsi="宋体" w:eastAsia="宋体" w:cs="Times New Roman"/>
                <w:color w:val="000000" w:themeColor="text1"/>
                <w:kern w:val="0"/>
                <w:sz w:val="20"/>
                <w:szCs w:val="20"/>
                <w14:textFill>
                  <w14:solidFill>
                    <w14:schemeClr w14:val="tx1"/>
                  </w14:solidFill>
                </w14:textFill>
              </w:rPr>
            </w:pPr>
          </w:p>
        </w:tc>
        <w:tc>
          <w:tcPr>
            <w:tcW w:w="1113" w:type="pct"/>
            <w:shd w:val="clear" w:color="auto" w:fill="auto"/>
            <w:vAlign w:val="center"/>
          </w:tcPr>
          <w:p w14:paraId="6F1A7B3F">
            <w:pPr>
              <w:spacing w:line="320" w:lineRule="exact"/>
              <w:jc w:val="center"/>
              <w:rPr>
                <w:rFonts w:ascii="宋体" w:hAnsi="宋体" w:eastAsia="宋体" w:cs="Times New Roman"/>
                <w:color w:val="000000" w:themeColor="text1"/>
                <w:kern w:val="0"/>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格林美股份</w:t>
            </w:r>
          </w:p>
          <w:p w14:paraId="548C03A1">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有限公司</w:t>
            </w:r>
          </w:p>
        </w:tc>
        <w:tc>
          <w:tcPr>
            <w:tcW w:w="1773" w:type="pct"/>
            <w:shd w:val="clear" w:color="auto" w:fill="auto"/>
            <w:vAlign w:val="center"/>
          </w:tcPr>
          <w:p w14:paraId="1A740830">
            <w:pPr>
              <w:spacing w:line="320" w:lineRule="exact"/>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电子废弃物破碎料、绿色再生塑料、环保砖</w:t>
            </w:r>
          </w:p>
        </w:tc>
        <w:tc>
          <w:tcPr>
            <w:tcW w:w="1152" w:type="pct"/>
            <w:shd w:val="clear" w:color="auto" w:fill="auto"/>
            <w:vAlign w:val="center"/>
          </w:tcPr>
          <w:p w14:paraId="706AE4F6">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强链：固废处理</w:t>
            </w:r>
          </w:p>
        </w:tc>
      </w:tr>
      <w:tr w14:paraId="35F9D3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961" w:type="pct"/>
            <w:vMerge w:val="continue"/>
            <w:shd w:val="clear" w:color="auto" w:fill="auto"/>
            <w:vAlign w:val="center"/>
          </w:tcPr>
          <w:p w14:paraId="2DD8F994">
            <w:pPr>
              <w:jc w:val="center"/>
              <w:rPr>
                <w:rFonts w:ascii="宋体" w:hAnsi="宋体" w:eastAsia="宋体" w:cs="Times New Roman"/>
                <w:color w:val="000000" w:themeColor="text1"/>
                <w:kern w:val="0"/>
                <w:sz w:val="20"/>
                <w:szCs w:val="20"/>
                <w14:textFill>
                  <w14:solidFill>
                    <w14:schemeClr w14:val="tx1"/>
                  </w14:solidFill>
                </w14:textFill>
              </w:rPr>
            </w:pPr>
          </w:p>
        </w:tc>
        <w:tc>
          <w:tcPr>
            <w:tcW w:w="1113" w:type="pct"/>
            <w:shd w:val="clear" w:color="auto" w:fill="auto"/>
            <w:vAlign w:val="center"/>
          </w:tcPr>
          <w:p w14:paraId="77EB7D20">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航天凯天环保科技股份有限公司</w:t>
            </w:r>
          </w:p>
        </w:tc>
        <w:tc>
          <w:tcPr>
            <w:tcW w:w="1773" w:type="pct"/>
            <w:shd w:val="clear" w:color="auto" w:fill="auto"/>
            <w:vAlign w:val="center"/>
          </w:tcPr>
          <w:p w14:paraId="202C3714">
            <w:pPr>
              <w:spacing w:line="320" w:lineRule="exact"/>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固废处理、环境修复、水环境治理</w:t>
            </w:r>
          </w:p>
        </w:tc>
        <w:tc>
          <w:tcPr>
            <w:tcW w:w="1152" w:type="pct"/>
            <w:shd w:val="clear" w:color="auto" w:fill="auto"/>
            <w:vAlign w:val="center"/>
          </w:tcPr>
          <w:p w14:paraId="5B49B6E2">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强链：固废处理</w:t>
            </w:r>
          </w:p>
        </w:tc>
      </w:tr>
      <w:tr w14:paraId="46C8F2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52" w:hRule="atLeast"/>
          <w:jc w:val="center"/>
        </w:trPr>
        <w:tc>
          <w:tcPr>
            <w:tcW w:w="961" w:type="pct"/>
            <w:vMerge w:val="restart"/>
            <w:shd w:val="clear" w:color="auto" w:fill="auto"/>
            <w:vAlign w:val="center"/>
          </w:tcPr>
          <w:p w14:paraId="4C43B3B7">
            <w:pPr>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节能环保设备</w:t>
            </w:r>
          </w:p>
        </w:tc>
        <w:tc>
          <w:tcPr>
            <w:tcW w:w="1113" w:type="pct"/>
            <w:shd w:val="clear" w:color="auto" w:fill="auto"/>
            <w:vAlign w:val="center"/>
          </w:tcPr>
          <w:p w14:paraId="524DEE62">
            <w:pPr>
              <w:spacing w:line="320" w:lineRule="exact"/>
              <w:jc w:val="center"/>
              <w:rPr>
                <w:rFonts w:ascii="宋体" w:hAnsi="宋体" w:eastAsia="宋体" w:cs="Times New Roman"/>
                <w:color w:val="000000" w:themeColor="text1"/>
                <w:kern w:val="0"/>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创元科技股份</w:t>
            </w:r>
          </w:p>
          <w:p w14:paraId="5C52490C">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有限公司</w:t>
            </w:r>
          </w:p>
        </w:tc>
        <w:tc>
          <w:tcPr>
            <w:tcW w:w="1773" w:type="pct"/>
            <w:shd w:val="clear" w:color="auto" w:fill="auto"/>
            <w:vAlign w:val="center"/>
          </w:tcPr>
          <w:p w14:paraId="5BC93BD5">
            <w:pPr>
              <w:spacing w:line="320" w:lineRule="exact"/>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经营空气净化设备、水处理设备系统工程、废水处理设备及工程、气体纯化设备、气体分离设备</w:t>
            </w:r>
          </w:p>
        </w:tc>
        <w:tc>
          <w:tcPr>
            <w:tcW w:w="1152" w:type="pct"/>
            <w:shd w:val="clear" w:color="auto" w:fill="auto"/>
            <w:vAlign w:val="center"/>
          </w:tcPr>
          <w:p w14:paraId="5209387D">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补链：清洁环保</w:t>
            </w:r>
          </w:p>
        </w:tc>
      </w:tr>
      <w:tr w14:paraId="51DD6A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961" w:type="pct"/>
            <w:vMerge w:val="continue"/>
            <w:shd w:val="clear" w:color="auto" w:fill="auto"/>
            <w:vAlign w:val="center"/>
          </w:tcPr>
          <w:p w14:paraId="2611789D">
            <w:pPr>
              <w:jc w:val="center"/>
              <w:rPr>
                <w:rFonts w:ascii="宋体" w:hAnsi="宋体" w:eastAsia="宋体" w:cs="Times New Roman"/>
                <w:color w:val="000000" w:themeColor="text1"/>
                <w:kern w:val="0"/>
                <w:sz w:val="20"/>
                <w:szCs w:val="20"/>
                <w14:textFill>
                  <w14:solidFill>
                    <w14:schemeClr w14:val="tx1"/>
                  </w14:solidFill>
                </w14:textFill>
              </w:rPr>
            </w:pPr>
          </w:p>
        </w:tc>
        <w:tc>
          <w:tcPr>
            <w:tcW w:w="1113" w:type="pct"/>
            <w:shd w:val="clear" w:color="auto" w:fill="auto"/>
            <w:vAlign w:val="center"/>
          </w:tcPr>
          <w:p w14:paraId="440147BB">
            <w:pPr>
              <w:spacing w:line="320" w:lineRule="exact"/>
              <w:jc w:val="center"/>
              <w:rPr>
                <w:rFonts w:ascii="宋体" w:hAnsi="宋体" w:eastAsia="宋体" w:cs="Times New Roman"/>
                <w:color w:val="000000" w:themeColor="text1"/>
                <w:kern w:val="0"/>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科林环保技术</w:t>
            </w:r>
          </w:p>
          <w:p w14:paraId="074CDC41">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有限责任公司</w:t>
            </w:r>
          </w:p>
        </w:tc>
        <w:tc>
          <w:tcPr>
            <w:tcW w:w="1773" w:type="pct"/>
            <w:shd w:val="clear" w:color="auto" w:fill="auto"/>
            <w:vAlign w:val="center"/>
          </w:tcPr>
          <w:p w14:paraId="2AAA6C73">
            <w:pPr>
              <w:spacing w:line="320" w:lineRule="exact"/>
              <w:rPr>
                <w:rFonts w:ascii="宋体" w:hAnsi="宋体" w:eastAsia="宋体" w:cs="Times New Roman"/>
                <w:color w:val="000000" w:themeColor="text1"/>
                <w:spacing w:val="-8"/>
                <w:kern w:val="0"/>
                <w:sz w:val="20"/>
                <w:szCs w:val="20"/>
                <w14:textFill>
                  <w14:solidFill>
                    <w14:schemeClr w14:val="tx1"/>
                  </w14:solidFill>
                </w14:textFill>
              </w:rPr>
            </w:pPr>
            <w:r>
              <w:rPr>
                <w:rFonts w:ascii="宋体" w:hAnsi="宋体" w:eastAsia="宋体" w:cs="Times New Roman"/>
                <w:color w:val="000000" w:themeColor="text1"/>
                <w:spacing w:val="-8"/>
                <w:kern w:val="0"/>
                <w:sz w:val="24"/>
                <w:szCs w:val="24"/>
                <w14:textFill>
                  <w14:solidFill>
                    <w14:schemeClr w14:val="tx1"/>
                  </w14:solidFill>
                </w14:textFill>
              </w:rPr>
              <w:t>袋式除尘设备、节能冷却设备</w:t>
            </w:r>
          </w:p>
        </w:tc>
        <w:tc>
          <w:tcPr>
            <w:tcW w:w="1152" w:type="pct"/>
            <w:shd w:val="clear" w:color="auto" w:fill="auto"/>
            <w:vAlign w:val="center"/>
          </w:tcPr>
          <w:p w14:paraId="670F5283">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补链：除尘</w:t>
            </w:r>
          </w:p>
        </w:tc>
      </w:tr>
      <w:tr w14:paraId="42B162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961" w:type="pct"/>
            <w:vMerge w:val="continue"/>
            <w:shd w:val="clear" w:color="auto" w:fill="auto"/>
            <w:vAlign w:val="center"/>
          </w:tcPr>
          <w:p w14:paraId="364C3E9E">
            <w:pPr>
              <w:jc w:val="center"/>
              <w:rPr>
                <w:rFonts w:ascii="宋体" w:hAnsi="宋体" w:eastAsia="宋体" w:cs="Times New Roman"/>
                <w:color w:val="000000" w:themeColor="text1"/>
                <w:kern w:val="0"/>
                <w:sz w:val="20"/>
                <w:szCs w:val="20"/>
                <w14:textFill>
                  <w14:solidFill>
                    <w14:schemeClr w14:val="tx1"/>
                  </w14:solidFill>
                </w14:textFill>
              </w:rPr>
            </w:pPr>
          </w:p>
        </w:tc>
        <w:tc>
          <w:tcPr>
            <w:tcW w:w="1113" w:type="pct"/>
            <w:shd w:val="clear" w:color="auto" w:fill="auto"/>
            <w:vAlign w:val="center"/>
          </w:tcPr>
          <w:p w14:paraId="260B061F">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BWT</w:t>
            </w:r>
            <w:r>
              <w:rPr>
                <w:rFonts w:ascii="宋体" w:hAnsi="宋体" w:eastAsia="宋体" w:cs="Times New Roman"/>
                <w:color w:val="000000" w:themeColor="text1"/>
                <w:kern w:val="0"/>
                <w:sz w:val="24"/>
                <w:szCs w:val="24"/>
                <w14:textFill>
                  <w14:solidFill>
                    <w14:schemeClr w14:val="tx1"/>
                  </w14:solidFill>
                </w14:textFill>
              </w:rPr>
              <w:t>集团</w:t>
            </w:r>
          </w:p>
        </w:tc>
        <w:tc>
          <w:tcPr>
            <w:tcW w:w="1773" w:type="pct"/>
            <w:shd w:val="clear" w:color="auto" w:fill="auto"/>
            <w:vAlign w:val="center"/>
          </w:tcPr>
          <w:p w14:paraId="0FF69B1F">
            <w:pPr>
              <w:spacing w:line="320" w:lineRule="exact"/>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空气净化设备、水净化设备、环保材料</w:t>
            </w:r>
          </w:p>
        </w:tc>
        <w:tc>
          <w:tcPr>
            <w:tcW w:w="1152" w:type="pct"/>
            <w:shd w:val="clear" w:color="auto" w:fill="auto"/>
            <w:vAlign w:val="center"/>
          </w:tcPr>
          <w:p w14:paraId="02A9AF29">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补链：空气净化</w:t>
            </w:r>
          </w:p>
        </w:tc>
      </w:tr>
      <w:tr w14:paraId="156977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961" w:type="pct"/>
            <w:vMerge w:val="restart"/>
            <w:shd w:val="clear" w:color="auto" w:fill="auto"/>
            <w:vAlign w:val="center"/>
          </w:tcPr>
          <w:p w14:paraId="745706B6">
            <w:pPr>
              <w:jc w:val="center"/>
              <w:rPr>
                <w:rFonts w:ascii="宋体" w:hAnsi="宋体" w:eastAsia="宋体" w:cs="Times New Roman"/>
                <w:color w:val="000000" w:themeColor="text1"/>
                <w:kern w:val="0"/>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绿色节能</w:t>
            </w:r>
          </w:p>
          <w:p w14:paraId="2A1DBC73">
            <w:pPr>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建筑材料</w:t>
            </w:r>
          </w:p>
        </w:tc>
        <w:tc>
          <w:tcPr>
            <w:tcW w:w="1113" w:type="pct"/>
            <w:shd w:val="clear" w:color="auto" w:fill="auto"/>
            <w:vAlign w:val="center"/>
          </w:tcPr>
          <w:p w14:paraId="5B5DCA85">
            <w:pPr>
              <w:spacing w:line="320" w:lineRule="exact"/>
              <w:jc w:val="center"/>
              <w:rPr>
                <w:rFonts w:ascii="宋体" w:hAnsi="宋体" w:eastAsia="宋体" w:cs="Times New Roman"/>
                <w:color w:val="000000" w:themeColor="text1"/>
                <w:kern w:val="0"/>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华新水泥股份</w:t>
            </w:r>
          </w:p>
          <w:p w14:paraId="51D3455E">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有限公司</w:t>
            </w:r>
          </w:p>
        </w:tc>
        <w:tc>
          <w:tcPr>
            <w:tcW w:w="1773" w:type="pct"/>
            <w:shd w:val="clear" w:color="auto" w:fill="auto"/>
            <w:vAlign w:val="center"/>
          </w:tcPr>
          <w:p w14:paraId="31190CD4">
            <w:pPr>
              <w:spacing w:line="320" w:lineRule="exact"/>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水泥业务、环保业务、新型建筑材料业务、新型塑料</w:t>
            </w:r>
          </w:p>
        </w:tc>
        <w:tc>
          <w:tcPr>
            <w:tcW w:w="1152" w:type="pct"/>
            <w:shd w:val="clear" w:color="auto" w:fill="auto"/>
            <w:vAlign w:val="center"/>
          </w:tcPr>
          <w:p w14:paraId="290DE726">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强链：建筑材料</w:t>
            </w:r>
          </w:p>
        </w:tc>
      </w:tr>
      <w:tr w14:paraId="6F780F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961" w:type="pct"/>
            <w:vMerge w:val="continue"/>
            <w:shd w:val="clear" w:color="auto" w:fill="auto"/>
            <w:vAlign w:val="center"/>
          </w:tcPr>
          <w:p w14:paraId="0A106895">
            <w:pPr>
              <w:jc w:val="center"/>
              <w:rPr>
                <w:rFonts w:ascii="宋体" w:hAnsi="宋体" w:eastAsia="宋体" w:cs="Times New Roman"/>
                <w:color w:val="000000" w:themeColor="text1"/>
                <w:kern w:val="0"/>
                <w:sz w:val="20"/>
                <w:szCs w:val="20"/>
                <w14:textFill>
                  <w14:solidFill>
                    <w14:schemeClr w14:val="tx1"/>
                  </w14:solidFill>
                </w14:textFill>
              </w:rPr>
            </w:pPr>
          </w:p>
        </w:tc>
        <w:tc>
          <w:tcPr>
            <w:tcW w:w="1113" w:type="pct"/>
            <w:shd w:val="clear" w:color="auto" w:fill="auto"/>
            <w:vAlign w:val="center"/>
          </w:tcPr>
          <w:p w14:paraId="3288D48D">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中国中材国际工程股份有限公司</w:t>
            </w:r>
          </w:p>
        </w:tc>
        <w:tc>
          <w:tcPr>
            <w:tcW w:w="1773" w:type="pct"/>
            <w:shd w:val="clear" w:color="auto" w:fill="auto"/>
            <w:vAlign w:val="center"/>
          </w:tcPr>
          <w:p w14:paraId="464EF672">
            <w:pPr>
              <w:spacing w:line="320" w:lineRule="exact"/>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水泥工程</w:t>
            </w:r>
          </w:p>
        </w:tc>
        <w:tc>
          <w:tcPr>
            <w:tcW w:w="1152" w:type="pct"/>
            <w:shd w:val="clear" w:color="auto" w:fill="auto"/>
            <w:vAlign w:val="center"/>
          </w:tcPr>
          <w:p w14:paraId="5E51495B">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强链：水泥设计</w:t>
            </w:r>
          </w:p>
        </w:tc>
      </w:tr>
      <w:tr w14:paraId="50A915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961" w:type="pct"/>
            <w:vMerge w:val="continue"/>
            <w:shd w:val="clear" w:color="auto" w:fill="auto"/>
            <w:vAlign w:val="center"/>
          </w:tcPr>
          <w:p w14:paraId="6BE4AF98">
            <w:pPr>
              <w:jc w:val="center"/>
              <w:rPr>
                <w:rFonts w:ascii="宋体" w:hAnsi="宋体" w:eastAsia="宋体" w:cs="Times New Roman"/>
                <w:color w:val="000000" w:themeColor="text1"/>
                <w:kern w:val="0"/>
                <w:sz w:val="20"/>
                <w:szCs w:val="20"/>
                <w14:textFill>
                  <w14:solidFill>
                    <w14:schemeClr w14:val="tx1"/>
                  </w14:solidFill>
                </w14:textFill>
              </w:rPr>
            </w:pPr>
          </w:p>
        </w:tc>
        <w:tc>
          <w:tcPr>
            <w:tcW w:w="1113" w:type="pct"/>
            <w:shd w:val="clear" w:color="auto" w:fill="auto"/>
            <w:vAlign w:val="center"/>
          </w:tcPr>
          <w:p w14:paraId="073160E9">
            <w:pPr>
              <w:spacing w:line="320" w:lineRule="exact"/>
              <w:jc w:val="center"/>
              <w:rPr>
                <w:rFonts w:ascii="宋体" w:hAnsi="宋体" w:eastAsia="宋体" w:cs="Times New Roman"/>
                <w:color w:val="000000" w:themeColor="text1"/>
                <w:kern w:val="0"/>
                <w:sz w:val="24"/>
                <w:szCs w:val="24"/>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中材科技股份</w:t>
            </w:r>
          </w:p>
          <w:p w14:paraId="3F313B67">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有限公司</w:t>
            </w:r>
          </w:p>
        </w:tc>
        <w:tc>
          <w:tcPr>
            <w:tcW w:w="1773" w:type="pct"/>
            <w:shd w:val="clear" w:color="auto" w:fill="auto"/>
            <w:vAlign w:val="center"/>
          </w:tcPr>
          <w:p w14:paraId="5EC0A885">
            <w:pPr>
              <w:spacing w:line="320" w:lineRule="exact"/>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玻璃纤维及制品、过滤材料、特种纤维与复合材料</w:t>
            </w:r>
          </w:p>
        </w:tc>
        <w:tc>
          <w:tcPr>
            <w:tcW w:w="1152" w:type="pct"/>
            <w:shd w:val="clear" w:color="auto" w:fill="auto"/>
            <w:vAlign w:val="center"/>
          </w:tcPr>
          <w:p w14:paraId="200DE8CF">
            <w:pPr>
              <w:spacing w:line="320" w:lineRule="exact"/>
              <w:jc w:val="center"/>
              <w:rPr>
                <w:rFonts w:ascii="宋体" w:hAnsi="宋体" w:eastAsia="宋体" w:cs="Times New Roman"/>
                <w:color w:val="000000" w:themeColor="text1"/>
                <w:kern w:val="0"/>
                <w:sz w:val="20"/>
                <w:szCs w:val="20"/>
                <w14:textFill>
                  <w14:solidFill>
                    <w14:schemeClr w14:val="tx1"/>
                  </w14:solidFill>
                </w14:textFill>
              </w:rPr>
            </w:pPr>
            <w:r>
              <w:rPr>
                <w:rFonts w:ascii="宋体" w:hAnsi="宋体" w:eastAsia="宋体" w:cs="Times New Roman"/>
                <w:color w:val="000000" w:themeColor="text1"/>
                <w:kern w:val="0"/>
                <w:sz w:val="24"/>
                <w:szCs w:val="24"/>
                <w14:textFill>
                  <w14:solidFill>
                    <w14:schemeClr w14:val="tx1"/>
                  </w14:solidFill>
                </w14:textFill>
              </w:rPr>
              <w:t>强链：玻璃门窗</w:t>
            </w:r>
          </w:p>
        </w:tc>
      </w:tr>
    </w:tbl>
    <w:p w14:paraId="01B09A50">
      <w:pPr>
        <w:pStyle w:val="4"/>
        <w:pageBreakBefore w:val="0"/>
        <w:widowControl w:val="0"/>
        <w:kinsoku/>
        <w:wordWrap/>
        <w:overflowPunct/>
        <w:topLinePunct w:val="0"/>
        <w:autoSpaceDE/>
        <w:autoSpaceDN/>
        <w:bidi w:val="0"/>
        <w:adjustRightInd/>
        <w:snapToGrid/>
        <w:spacing w:before="0" w:after="0" w:line="590" w:lineRule="exact"/>
        <w:ind w:firstLine="640" w:firstLineChars="200"/>
        <w:textAlignment w:val="auto"/>
        <w:rPr>
          <w:rFonts w:ascii="Times New Roman" w:hAnsi="Times New Roman" w:eastAsia="黑体" w:cs="Times New Roman"/>
          <w:b w:val="0"/>
          <w:color w:val="000000" w:themeColor="text1"/>
          <w14:textFill>
            <w14:solidFill>
              <w14:schemeClr w14:val="tx1"/>
            </w14:solidFill>
          </w14:textFill>
        </w:rPr>
      </w:pPr>
      <w:r>
        <w:rPr>
          <w:rFonts w:hint="eastAsia" w:ascii="方正黑体_GBK" w:hAnsi="方正黑体_GBK" w:eastAsia="方正黑体_GBK" w:cs="方正黑体_GBK"/>
          <w:b w:val="0"/>
          <w:color w:val="000000" w:themeColor="text1"/>
          <w14:textFill>
            <w14:solidFill>
              <w14:schemeClr w14:val="tx1"/>
            </w14:solidFill>
          </w14:textFill>
        </w:rPr>
        <w:t>三、数字创意</w:t>
      </w:r>
      <w:bookmarkEnd w:id="62"/>
      <w:bookmarkEnd w:id="63"/>
    </w:p>
    <w:p w14:paraId="6F1C9F17">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（一）发展思路和目标</w:t>
      </w:r>
    </w:p>
    <w:p w14:paraId="38101FC2">
      <w:pPr>
        <w:pageBreakBefore w:val="0"/>
        <w:widowControl w:val="0"/>
        <w:kinsoku/>
        <w:wordWrap/>
        <w:overflowPunct/>
        <w:topLinePunct w:val="0"/>
        <w:autoSpaceDE/>
        <w:autoSpaceDN/>
        <w:bidi w:val="0"/>
        <w:adjustRightInd/>
        <w:snapToGrid/>
        <w:spacing w:line="59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以融合化、规模化和多元化为中心，推动义安区数字创意产业特色发展，成为义安区战略性新型产业增长新引擎。</w:t>
      </w:r>
    </w:p>
    <w:p w14:paraId="5D9F1D55">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（二）发展重点</w:t>
      </w:r>
    </w:p>
    <w:p w14:paraId="3C352723">
      <w:pPr>
        <w:pageBreakBefore w:val="0"/>
        <w:widowControl w:val="0"/>
        <w:kinsoku/>
        <w:wordWrap/>
        <w:overflowPunct/>
        <w:topLinePunct w:val="0"/>
        <w:autoSpaceDE/>
        <w:autoSpaceDN/>
        <w:bidi w:val="0"/>
        <w:adjustRightInd/>
        <w:snapToGrid/>
        <w:spacing w:line="59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依托安徽省新一代信息技术产业发展基础，重点发展计算机辅助设计、短视频制作、直播等领域。结合义安区文旅资源，布局发展“互联网+旅游”等数字创意融合业态领域。</w:t>
      </w:r>
    </w:p>
    <w:p w14:paraId="5E2B3AB6">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val="0"/>
          <w:bCs w:val="0"/>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（三）发展路径</w:t>
      </w:r>
    </w:p>
    <w:p w14:paraId="3B783F85">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依托铜陵市铜草花众创基地，加速数字创意类项目孵化进程，加大对创意设计、动漫制作、短视频制作及直播等领域项目孵化力度，推动数字创意产业市场化、规模化发展。鼓励在孵数字创意企业加强和科大、合工大及合肥人工智能研究所等科研院所合作力度，积极争取更多数字创意类项目落地孵化。依托义安区犁桥村、牡丹种植基地等特色文旅资源，探索发展融合演艺、智能解说、VR等文化、信息技术业态的数字创意文旅。充分挖掘义安区凤丹等道地药材种植及中医药文化资源，谋划打造中医药产业及创意文化产业园，提升文化资源数字化处理水平，探索发展文化展演、主体文化街区等领域。立足义安白姜、凤丹等特色农产品资源，探索发展特色农产品电商直播领域，带动本地特色农产品发展和销售市场扩大。</w:t>
      </w:r>
    </w:p>
    <w:p w14:paraId="0F299E45">
      <w:pPr>
        <w:pStyle w:val="2"/>
        <w:pageBreakBefore w:val="0"/>
        <w:widowControl w:val="0"/>
        <w:kinsoku/>
        <w:wordWrap/>
        <w:overflowPunct/>
        <w:topLinePunct w:val="0"/>
        <w:autoSpaceDE/>
        <w:autoSpaceDN/>
        <w:bidi w:val="0"/>
        <w:adjustRightInd/>
        <w:snapToGrid/>
        <w:spacing w:line="590" w:lineRule="exact"/>
        <w:textAlignment w:val="auto"/>
        <w:rPr>
          <w:rFonts w:hint="eastAsia" w:ascii="方正黑体_GBK" w:hAnsi="方正黑体_GBK" w:eastAsia="方正黑体_GBK" w:cs="方正黑体_GBK"/>
          <w:b/>
        </w:rPr>
      </w:pPr>
      <w:bookmarkStart w:id="64" w:name="_Toc3694"/>
      <w:bookmarkStart w:id="65" w:name="_Toc76137885"/>
      <w:bookmarkStart w:id="66" w:name="_Toc76137561"/>
      <w:bookmarkStart w:id="67" w:name="_Toc76137914"/>
      <w:r>
        <w:rPr>
          <w:rFonts w:hint="eastAsia" w:ascii="方正黑体_GBK" w:hAnsi="方正黑体_GBK" w:eastAsia="方正黑体_GBK" w:cs="方正黑体_GBK"/>
        </w:rPr>
        <w:t>第四章 五大行动</w:t>
      </w:r>
      <w:bookmarkEnd w:id="64"/>
      <w:bookmarkEnd w:id="65"/>
      <w:bookmarkEnd w:id="66"/>
      <w:bookmarkEnd w:id="67"/>
    </w:p>
    <w:p w14:paraId="4AA98572">
      <w:pPr>
        <w:pStyle w:val="3"/>
        <w:pageBreakBefore w:val="0"/>
        <w:widowControl w:val="0"/>
        <w:kinsoku/>
        <w:wordWrap/>
        <w:overflowPunct/>
        <w:topLinePunct w:val="0"/>
        <w:autoSpaceDE/>
        <w:autoSpaceDN/>
        <w:bidi w:val="0"/>
        <w:adjustRightInd/>
        <w:snapToGrid/>
        <w:spacing w:line="590" w:lineRule="exact"/>
        <w:textAlignment w:val="auto"/>
        <w:rPr>
          <w:rFonts w:hint="eastAsia" w:ascii="方正楷体_GBK" w:hAnsi="方正楷体_GBK" w:eastAsia="方正楷体_GBK" w:cs="方正楷体_GBK"/>
          <w:b w:val="0"/>
          <w:bCs/>
        </w:rPr>
      </w:pPr>
      <w:bookmarkStart w:id="68" w:name="_Toc6306"/>
      <w:bookmarkStart w:id="69" w:name="_Toc76137915"/>
      <w:bookmarkStart w:id="70" w:name="_Toc76137886"/>
      <w:bookmarkStart w:id="71" w:name="_Toc76137562"/>
      <w:r>
        <w:rPr>
          <w:rFonts w:hint="eastAsia" w:ascii="方正楷体_GBK" w:hAnsi="方正楷体_GBK" w:eastAsia="方正楷体_GBK" w:cs="方正楷体_GBK"/>
          <w:b w:val="0"/>
          <w:bCs/>
        </w:rPr>
        <w:t>第一节 创新引领行动</w:t>
      </w:r>
      <w:bookmarkEnd w:id="68"/>
      <w:bookmarkEnd w:id="69"/>
      <w:bookmarkEnd w:id="70"/>
      <w:bookmarkEnd w:id="71"/>
    </w:p>
    <w:p w14:paraId="64715216">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坚持以创新驱动为引领，持续完善以企业为主体、市场为导向、产学研紧密结合的技术创新体系，加快培育创新主体、搭建创新平台、强化与长三角协同创新、优化科技创新服务，打造义安科技创新新优势。</w:t>
      </w:r>
    </w:p>
    <w:p w14:paraId="6A66F081">
      <w:pPr>
        <w:pageBreakBefore w:val="0"/>
        <w:widowControl w:val="0"/>
        <w:kinsoku/>
        <w:wordWrap/>
        <w:overflowPunct/>
        <w:topLinePunct w:val="0"/>
        <w:autoSpaceDE/>
        <w:autoSpaceDN/>
        <w:bidi w:val="0"/>
        <w:adjustRightInd/>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一、提升企业创新能力</w:t>
      </w:r>
    </w:p>
    <w:p w14:paraId="0A256EE4">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引导企业加大研发投入力度，实施企业创新能力提升工程，鼓励企业建立研发准备金制度，根据市场需求自主决策先行投入开展项目研发。鼓励有实力企业牵头实施一批省、市科技重大专项及重点研发项目，逐步提升企业创新能力。围绕高端装备制造、新一代信息技术、新材料等产业，依托行业龙头企业，联合中小企业、中科大等高等院校，组建体系化、任务型的创新联合体，以课题形式开展芯片、智能制造等领域共性技术攻关。鼓励科技型中小企业积极参与龙头企业牵头的重大科技项目，拓展与大企业全方位配套合作关系，着力打造一批创新水平高、竞争力强的科技型中小企业集群。鼓励企业、园区与政府共同建立研发和科技成果转化基金，开展关键技术攻关，加快成果中试转化、产业化步伐。</w:t>
      </w:r>
    </w:p>
    <w:p w14:paraId="591BD520">
      <w:pPr>
        <w:pageBreakBefore w:val="0"/>
        <w:widowControl w:val="0"/>
        <w:kinsoku/>
        <w:wordWrap/>
        <w:overflowPunct/>
        <w:topLinePunct w:val="0"/>
        <w:autoSpaceDE/>
        <w:autoSpaceDN/>
        <w:bidi w:val="0"/>
        <w:adjustRightInd/>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二、搭建创新平台</w:t>
      </w:r>
    </w:p>
    <w:p w14:paraId="1BCC2496">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加快建设科技创新平台，积极对接合肥综合性国家科学中心、中科大新材料研究院，聚焦高端装备、新材料等重点领域，引入科技创新资源，探索共建省级实验室、院士工作站、博士后科研工作站等创新平台。支持有基础、有实力的企业，联合省内外高校和科研院所，建立高水平重点（工程）实验室、工程技术研究中心、企业技术中心（研究院）、中试基地、设计中心、检测中心、数据中心等研发机构，提升企业核心创新力。重点就“卡链”“断链”产品和技术，实施科技重大专项，开展核心技术攻关与产品研制，促进创新链与产业链深度融合。加快公共服务平台建设，持续提升铜草花开·众创空间和科技企业孵化器、牛牛轴念众创空间孵化能力。加速推进义安经开区孵化器项目建设，力争建设成为省级科技企业孵化器、省级创新创业平台。引导园区建设共性技术研发平台、公共检验检测服务中心、工业设计质量认证等公共服务平台，为园区绿色食品、高端装备制造等领域企业提供产品测试与设计领域的服务。</w:t>
      </w:r>
    </w:p>
    <w:p w14:paraId="01A460EB">
      <w:pPr>
        <w:pageBreakBefore w:val="0"/>
        <w:widowControl w:val="0"/>
        <w:kinsoku/>
        <w:wordWrap/>
        <w:overflowPunct/>
        <w:topLinePunct w:val="0"/>
        <w:autoSpaceDE/>
        <w:autoSpaceDN/>
        <w:bidi w:val="0"/>
        <w:adjustRightInd/>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三、强化与长三角协同创新</w:t>
      </w:r>
    </w:p>
    <w:p w14:paraId="1A26C35B">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themeColor="text1"/>
          <w:sz w:val="32"/>
          <w:szCs w:val="32"/>
          <w14:textFill>
            <w14:solidFill>
              <w14:schemeClr w14:val="tx1"/>
            </w14:solidFill>
          </w14:textFill>
        </w:rPr>
        <w:t>支持铜基新材料企业积极对接</w:t>
      </w:r>
      <w:r>
        <w:rPr>
          <w:rFonts w:hint="eastAsia" w:ascii="方正仿宋_GBK" w:hAnsi="方正仿宋_GBK" w:eastAsia="方正仿宋_GBK" w:cs="方正仿宋_GBK"/>
          <w:color w:val="444444"/>
          <w:sz w:val="32"/>
          <w:szCs w:val="32"/>
        </w:rPr>
        <w:t>中国科学院物理研究</w:t>
      </w:r>
      <w:r>
        <w:rPr>
          <w:rFonts w:hint="eastAsia" w:ascii="方正仿宋_GBK" w:hAnsi="方正仿宋_GBK" w:eastAsia="方正仿宋_GBK" w:cs="方正仿宋_GBK"/>
          <w:color w:val="000000" w:themeColor="text1"/>
          <w:sz w:val="32"/>
          <w:szCs w:val="32"/>
          <w14:textFill>
            <w14:solidFill>
              <w14:schemeClr w14:val="tx1"/>
            </w14:solidFill>
          </w14:textFill>
        </w:rPr>
        <w:t>所等科研院所，围绕铜基高温超导新材料等领域，开展新产品研发和关键技术攻关，实现“借脑研发，本地制造”，打造科创飞地。鼓励本地企业加强与长三角新一代信息技术、高端装备制造、新能源汽车等领域龙头企业合作，提升企业间协同创新水平。引导企业积极对接中科大、苏州大学等“双一流”院校优势学科，依托江南大学国家技术转移东部中心铜陵分中心，联合建设一批与主导产业紧密结合的技术转移中心，推动重大科技成果在在义安落地转化。重点加强与张江、合肥综合性国家科学中心、</w:t>
      </w:r>
      <w:r>
        <w:rPr>
          <w:rFonts w:ascii="Times New Roman" w:hAnsi="Times New Roman" w:eastAsia="仿宋_GB2312" w:cs="Times New Roman"/>
          <w:color w:val="000000" w:themeColor="text1"/>
          <w:sz w:val="32"/>
          <w:szCs w:val="32"/>
          <w14:textFill>
            <w14:solidFill>
              <w14:schemeClr w14:val="tx1"/>
            </w14:solidFill>
          </w14:textFill>
        </w:rPr>
        <w:t>G60</w:t>
      </w:r>
      <w:r>
        <w:rPr>
          <w:rFonts w:hint="eastAsia" w:ascii="方正仿宋_GBK" w:hAnsi="方正仿宋_GBK" w:eastAsia="方正仿宋_GBK" w:cs="方正仿宋_GBK"/>
          <w:color w:val="000000" w:themeColor="text1"/>
          <w:sz w:val="32"/>
          <w:szCs w:val="32"/>
          <w14:textFill>
            <w14:solidFill>
              <w14:schemeClr w14:val="tx1"/>
            </w14:solidFill>
          </w14:textFill>
        </w:rPr>
        <w:t>科创走廊等科技创新策源地对接，加快推动长三角科技成果在义安转化。依托省际产业合作园区建设，鼓励义安创新平台加强与复旦科技园等优势创新创业平台的交流合作，积极争取合作创新资源和机会，提升平台间的协同创新。</w:t>
      </w:r>
      <w:r>
        <w:rPr>
          <w:rFonts w:hint="eastAsia" w:ascii="方正仿宋_GBK" w:hAnsi="方正仿宋_GBK" w:eastAsia="方正仿宋_GBK" w:cs="方正仿宋_GBK"/>
          <w:color w:val="000000"/>
          <w:sz w:val="32"/>
          <w:szCs w:val="32"/>
        </w:rPr>
        <w:t xml:space="preserve"> </w:t>
      </w:r>
    </w:p>
    <w:p w14:paraId="5C214570">
      <w:pPr>
        <w:pageBreakBefore w:val="0"/>
        <w:widowControl w:val="0"/>
        <w:kinsoku/>
        <w:wordWrap/>
        <w:overflowPunct/>
        <w:topLinePunct w:val="0"/>
        <w:autoSpaceDE/>
        <w:autoSpaceDN/>
        <w:bidi w:val="0"/>
        <w:adjustRightInd/>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四、优化科技创新服务</w:t>
      </w:r>
    </w:p>
    <w:p w14:paraId="0371B4B1">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持续优化创新服务体系，积极引进技术交易、检验检测认证、知识产权、科技咨询等科技服务业，为义安区战新产业提供创新项目评价、知识产权代理、科技质量咨询等服务。加强科技企业孵化器、众创空间等建设布局，建立绩效评价和动态管理机制，推动各类孵化载体高质量发展，提升科技型企业源头培育能力。加强科技金融服务，创新科技金融服务产品，深化拓展“科技贷”“产业基金”“专利质押贷款”等融资方式，推进科技资源与金融资源高效对接。</w:t>
      </w:r>
    </w:p>
    <w:tbl>
      <w:tblPr>
        <w:tblStyle w:val="1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696"/>
      </w:tblGrid>
      <w:tr w14:paraId="3DA306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696" w:type="dxa"/>
            <w:shd w:val="clear" w:color="auto" w:fill="auto"/>
            <w:vAlign w:val="center"/>
          </w:tcPr>
          <w:p w14:paraId="3C2DA1C0">
            <w:pPr>
              <w:spacing w:line="600" w:lineRule="exact"/>
              <w:jc w:val="center"/>
              <w:rPr>
                <w:rFonts w:ascii="方正小标宋简体" w:hAnsi="Times New Roman" w:eastAsia="方正小标宋简体" w:cs="Times New Roman"/>
                <w:bCs/>
                <w:color w:val="000000" w:themeColor="text1"/>
                <w:sz w:val="32"/>
                <w:szCs w:val="32"/>
                <w14:textFill>
                  <w14:solidFill>
                    <w14:schemeClr w14:val="tx1"/>
                  </w14:solidFill>
                </w14:textFill>
              </w:rPr>
            </w:pPr>
            <w:r>
              <w:rPr>
                <w:rFonts w:ascii="方正小标宋简体" w:hAnsi="Times New Roman" w:eastAsia="方正小标宋简体" w:cs="Times New Roman"/>
                <w:bCs/>
                <w:color w:val="000000" w:themeColor="text1"/>
                <w:sz w:val="32"/>
                <w:szCs w:val="32"/>
                <w14:textFill>
                  <w14:solidFill>
                    <w14:schemeClr w14:val="tx1"/>
                  </w14:solidFill>
                </w14:textFill>
              </w:rPr>
              <w:t>专栏</w:t>
            </w:r>
            <w:r>
              <w:rPr>
                <w:rFonts w:ascii="Times New Roman" w:hAnsi="Times New Roman" w:eastAsia="方正小标宋简体" w:cs="Times New Roman"/>
                <w:bCs/>
                <w:color w:val="000000" w:themeColor="text1"/>
                <w:sz w:val="32"/>
                <w:szCs w:val="32"/>
                <w14:textFill>
                  <w14:solidFill>
                    <w14:schemeClr w14:val="tx1"/>
                  </w14:solidFill>
                </w14:textFill>
              </w:rPr>
              <w:t>7</w:t>
            </w:r>
            <w:r>
              <w:rPr>
                <w:rFonts w:ascii="方正小标宋简体" w:hAnsi="Times New Roman" w:eastAsia="方正小标宋简体" w:cs="Times New Roman"/>
                <w:bCs/>
                <w:color w:val="000000" w:themeColor="text1"/>
                <w:sz w:val="32"/>
                <w:szCs w:val="32"/>
                <w14:textFill>
                  <w14:solidFill>
                    <w14:schemeClr w14:val="tx1"/>
                  </w14:solidFill>
                </w14:textFill>
              </w:rPr>
              <w:t>：科技创新项目</w:t>
            </w:r>
          </w:p>
        </w:tc>
      </w:tr>
      <w:tr w14:paraId="342663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696" w:type="dxa"/>
            <w:shd w:val="clear" w:color="auto" w:fill="auto"/>
            <w:vAlign w:val="center"/>
          </w:tcPr>
          <w:p w14:paraId="322E4554">
            <w:pPr>
              <w:jc w:val="center"/>
              <w:rPr>
                <w:rFonts w:ascii="Times New Roman" w:hAnsi="Times New Roman" w:eastAsia="宋体" w:cs="Times New Roman"/>
                <w:color w:val="000000" w:themeColor="text1"/>
                <w:sz w:val="28"/>
                <w:szCs w:val="28"/>
                <w14:textFill>
                  <w14:solidFill>
                    <w14:schemeClr w14:val="tx1"/>
                  </w14:solidFill>
                </w14:textFill>
              </w:rPr>
            </w:pPr>
            <w:r>
              <w:rPr>
                <w:rFonts w:ascii="Times New Roman" w:hAnsi="Times New Roman" w:eastAsia="宋体" w:cs="Times New Roman"/>
                <w:color w:val="000000" w:themeColor="text1"/>
                <w:sz w:val="28"/>
                <w:szCs w:val="28"/>
                <w14:textFill>
                  <w14:solidFill>
                    <w14:schemeClr w14:val="tx1"/>
                  </w14:solidFill>
                </w14:textFill>
              </w:rPr>
              <w:t>富乐德陶瓷熔射及研发中心项目、义安经开区加速器项目</w:t>
            </w:r>
          </w:p>
        </w:tc>
      </w:tr>
    </w:tbl>
    <w:p w14:paraId="3FB9C5B8">
      <w:pPr>
        <w:pStyle w:val="3"/>
        <w:keepNext w:val="0"/>
        <w:keepLines w:val="0"/>
        <w:pageBreakBefore w:val="0"/>
        <w:widowControl w:val="0"/>
        <w:kinsoku/>
        <w:wordWrap/>
        <w:topLinePunct w:val="0"/>
        <w:autoSpaceDE/>
        <w:autoSpaceDN/>
        <w:bidi w:val="0"/>
        <w:adjustRightInd/>
        <w:snapToGrid/>
        <w:spacing w:line="590" w:lineRule="exact"/>
        <w:textAlignment w:val="auto"/>
        <w:rPr>
          <w:bCs/>
        </w:rPr>
      </w:pPr>
      <w:bookmarkStart w:id="72" w:name="_Toc28651"/>
      <w:bookmarkStart w:id="73" w:name="_Toc76137916"/>
      <w:bookmarkStart w:id="74" w:name="_Toc76137563"/>
      <w:bookmarkStart w:id="75" w:name="_Toc76137887"/>
      <w:r>
        <w:rPr>
          <w:rFonts w:hint="eastAsia" w:ascii="方正楷体_GBK" w:hAnsi="方正楷体_GBK" w:eastAsia="方正楷体_GBK" w:cs="方正楷体_GBK"/>
          <w:b w:val="0"/>
          <w:bCs/>
        </w:rPr>
        <w:t>第二节 企业培育行动</w:t>
      </w:r>
      <w:bookmarkEnd w:id="72"/>
      <w:bookmarkEnd w:id="73"/>
      <w:bookmarkEnd w:id="74"/>
      <w:bookmarkEnd w:id="75"/>
    </w:p>
    <w:p w14:paraId="54E30447">
      <w:pPr>
        <w:keepNext w:val="0"/>
        <w:keepLines w:val="0"/>
        <w:pageBreakBefore w:val="0"/>
        <w:widowControl w:val="0"/>
        <w:kinsoku/>
        <w:wordWrap/>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聚焦一批发展快、效益好、技术先进、行业领先的优质企业，实施动态培育，推动“个转企、小升规、规改股、股上市”，加快形成大中小企业融通发展新格局。</w:t>
      </w:r>
    </w:p>
    <w:p w14:paraId="2427E8DE">
      <w:pPr>
        <w:keepNext w:val="0"/>
        <w:keepLines w:val="0"/>
        <w:pageBreakBefore w:val="0"/>
        <w:widowControl w:val="0"/>
        <w:kinsoku/>
        <w:wordWrap/>
        <w:topLinePunct w:val="0"/>
        <w:autoSpaceDE/>
        <w:autoSpaceDN/>
        <w:bidi w:val="0"/>
        <w:adjustRightInd/>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一、大力培育龙头企业</w:t>
      </w:r>
    </w:p>
    <w:p w14:paraId="2A1D54A8">
      <w:pPr>
        <w:keepNext w:val="0"/>
        <w:keepLines w:val="0"/>
        <w:pageBreakBefore w:val="0"/>
        <w:widowControl w:val="0"/>
        <w:kinsoku/>
        <w:wordWrap/>
        <w:topLinePunct w:val="0"/>
        <w:autoSpaceDE/>
        <w:autoSpaceDN/>
        <w:bidi w:val="0"/>
        <w:adjustRightInd/>
        <w:snapToGrid/>
        <w:spacing w:line="59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深入落实战略性新兴产业企业“倍增计划”，鼓励区内新兴产业重点企业进一步做强做大主业，打造一批核心竞争力强、规模优势突出、引领全区战新产业发展大局的企业集团。引导和支持人才、资金、土地、创新等要素优先向龙头企业集聚，围绕高端装备制造、新一代信息技术、新材料等领域，每年确定一批重点企业，实施“一企一策”，打造超十亿级头部企业和相关核心配套企业。建立龙头企业培育库，鼓励龙头企业与高校、科研院所合作，开展科技重大专项技术攻关，加速成长为行业内领军企业。大力发展集团总部经济，支持重点企业通过兼并重组、参股控股、联合经营等方式组建企业集团。完善企业招引政策，为区外企业集团总部入驻义安创造条件。采取“孵化＋投资”市场化运作模式，吸引一批先进结构材料、高端装备制造“种子企业”入驻、孵化，加快打造一批制造业“单项冠军”“独角兽”企业。力争“十四五”末，培育百亿级企业</w:t>
      </w:r>
      <w:r>
        <w:rPr>
          <w:rFonts w:ascii="Times New Roman" w:hAnsi="Times New Roman" w:eastAsia="仿宋_GB2312" w:cs="Times New Roman"/>
          <w:color w:val="000000" w:themeColor="text1"/>
          <w:sz w:val="32"/>
          <w:szCs w:val="32"/>
          <w14:textFill>
            <w14:solidFill>
              <w14:schemeClr w14:val="tx1"/>
            </w14:solidFill>
          </w14:textFill>
        </w:rPr>
        <w:t>1</w:t>
      </w:r>
      <w:r>
        <w:rPr>
          <w:rFonts w:hint="eastAsia" w:ascii="方正仿宋_GBK" w:hAnsi="方正仿宋_GBK" w:eastAsia="方正仿宋_GBK" w:cs="方正仿宋_GBK"/>
          <w:color w:val="000000" w:themeColor="text1"/>
          <w:sz w:val="32"/>
          <w:szCs w:val="32"/>
          <w14:textFill>
            <w14:solidFill>
              <w14:schemeClr w14:val="tx1"/>
            </w14:solidFill>
          </w14:textFill>
        </w:rPr>
        <w:t>个、</w:t>
      </w:r>
      <w:r>
        <w:rPr>
          <w:rFonts w:ascii="Times New Roman" w:hAnsi="Times New Roman" w:eastAsia="仿宋_GB2312" w:cs="Times New Roman"/>
          <w:color w:val="000000" w:themeColor="text1"/>
          <w:sz w:val="32"/>
          <w:szCs w:val="32"/>
          <w14:textFill>
            <w14:solidFill>
              <w14:schemeClr w14:val="tx1"/>
            </w14:solidFill>
          </w14:textFill>
        </w:rPr>
        <w:t>50</w:t>
      </w:r>
      <w:r>
        <w:rPr>
          <w:rFonts w:hint="eastAsia" w:ascii="方正仿宋_GBK" w:hAnsi="方正仿宋_GBK" w:eastAsia="方正仿宋_GBK" w:cs="方正仿宋_GBK"/>
          <w:color w:val="000000" w:themeColor="text1"/>
          <w:sz w:val="32"/>
          <w:szCs w:val="32"/>
          <w14:textFill>
            <w14:solidFill>
              <w14:schemeClr w14:val="tx1"/>
            </w14:solidFill>
          </w14:textFill>
        </w:rPr>
        <w:t>亿级企业</w:t>
      </w:r>
      <w:r>
        <w:rPr>
          <w:rFonts w:ascii="Times New Roman" w:hAnsi="Times New Roman" w:eastAsia="仿宋_GB2312" w:cs="Times New Roman"/>
          <w:color w:val="000000" w:themeColor="text1"/>
          <w:sz w:val="32"/>
          <w:szCs w:val="32"/>
          <w14:textFill>
            <w14:solidFill>
              <w14:schemeClr w14:val="tx1"/>
            </w14:solidFill>
          </w14:textFill>
        </w:rPr>
        <w:t>1</w:t>
      </w:r>
      <w:r>
        <w:rPr>
          <w:rFonts w:hint="eastAsia" w:ascii="方正仿宋_GBK" w:hAnsi="方正仿宋_GBK" w:eastAsia="方正仿宋_GBK" w:cs="方正仿宋_GBK"/>
          <w:color w:val="000000" w:themeColor="text1"/>
          <w:sz w:val="32"/>
          <w:szCs w:val="32"/>
          <w14:textFill>
            <w14:solidFill>
              <w14:schemeClr w14:val="tx1"/>
            </w14:solidFill>
          </w14:textFill>
        </w:rPr>
        <w:t>个、</w:t>
      </w:r>
      <w:r>
        <w:rPr>
          <w:rFonts w:ascii="Times New Roman" w:hAnsi="Times New Roman" w:eastAsia="仿宋_GB2312" w:cs="Times New Roman"/>
          <w:color w:val="000000" w:themeColor="text1"/>
          <w:sz w:val="32"/>
          <w:szCs w:val="32"/>
          <w14:textFill>
            <w14:solidFill>
              <w14:schemeClr w14:val="tx1"/>
            </w14:solidFill>
          </w14:textFill>
        </w:rPr>
        <w:t>30</w:t>
      </w:r>
      <w:r>
        <w:rPr>
          <w:rFonts w:hint="eastAsia" w:ascii="方正仿宋_GBK" w:hAnsi="方正仿宋_GBK" w:eastAsia="方正仿宋_GBK" w:cs="方正仿宋_GBK"/>
          <w:color w:val="000000" w:themeColor="text1"/>
          <w:sz w:val="32"/>
          <w:szCs w:val="32"/>
          <w14:textFill>
            <w14:solidFill>
              <w14:schemeClr w14:val="tx1"/>
            </w14:solidFill>
          </w14:textFill>
        </w:rPr>
        <w:t>亿级企业</w:t>
      </w:r>
      <w:r>
        <w:rPr>
          <w:rFonts w:ascii="Times New Roman" w:hAnsi="Times New Roman" w:eastAsia="仿宋_GB2312" w:cs="Times New Roman"/>
          <w:color w:val="000000" w:themeColor="text1"/>
          <w:sz w:val="32"/>
          <w:szCs w:val="32"/>
          <w14:textFill>
            <w14:solidFill>
              <w14:schemeClr w14:val="tx1"/>
            </w14:solidFill>
          </w14:textFill>
        </w:rPr>
        <w:t>2</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3</w:t>
      </w:r>
      <w:r>
        <w:rPr>
          <w:rFonts w:hint="eastAsia" w:ascii="方正仿宋_GBK" w:hAnsi="方正仿宋_GBK" w:eastAsia="方正仿宋_GBK" w:cs="方正仿宋_GBK"/>
          <w:color w:val="000000" w:themeColor="text1"/>
          <w:sz w:val="32"/>
          <w:szCs w:val="32"/>
          <w14:textFill>
            <w14:solidFill>
              <w14:schemeClr w14:val="tx1"/>
            </w14:solidFill>
          </w14:textFill>
        </w:rPr>
        <w:t>个，</w:t>
      </w:r>
      <w:r>
        <w:rPr>
          <w:rFonts w:ascii="Times New Roman" w:hAnsi="Times New Roman" w:eastAsia="仿宋_GB2312" w:cs="Times New Roman"/>
          <w:color w:val="000000" w:themeColor="text1"/>
          <w:sz w:val="32"/>
          <w:szCs w:val="32"/>
          <w14:textFill>
            <w14:solidFill>
              <w14:schemeClr w14:val="tx1"/>
            </w14:solidFill>
          </w14:textFill>
        </w:rPr>
        <w:t>10</w:t>
      </w:r>
      <w:r>
        <w:rPr>
          <w:rFonts w:hint="eastAsia" w:ascii="方正仿宋_GBK" w:hAnsi="方正仿宋_GBK" w:eastAsia="方正仿宋_GBK" w:cs="方正仿宋_GBK"/>
          <w:color w:val="000000" w:themeColor="text1"/>
          <w:sz w:val="32"/>
          <w:szCs w:val="32"/>
          <w14:textFill>
            <w14:solidFill>
              <w14:schemeClr w14:val="tx1"/>
            </w14:solidFill>
          </w14:textFill>
        </w:rPr>
        <w:t>亿级企业</w:t>
      </w:r>
      <w:r>
        <w:rPr>
          <w:rFonts w:ascii="Times New Roman" w:hAnsi="Times New Roman" w:eastAsia="仿宋_GB2312" w:cs="Times New Roman"/>
          <w:color w:val="000000" w:themeColor="text1"/>
          <w:sz w:val="32"/>
          <w:szCs w:val="32"/>
          <w14:textFill>
            <w14:solidFill>
              <w14:schemeClr w14:val="tx1"/>
            </w14:solidFill>
          </w14:textFill>
        </w:rPr>
        <w:t>7</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10</w:t>
      </w:r>
      <w:r>
        <w:rPr>
          <w:rFonts w:hint="eastAsia" w:ascii="方正仿宋_GBK" w:hAnsi="方正仿宋_GBK" w:eastAsia="方正仿宋_GBK" w:cs="方正仿宋_GBK"/>
          <w:color w:val="000000" w:themeColor="text1"/>
          <w:sz w:val="32"/>
          <w:szCs w:val="32"/>
          <w14:textFill>
            <w14:solidFill>
              <w14:schemeClr w14:val="tx1"/>
            </w14:solidFill>
          </w14:textFill>
        </w:rPr>
        <w:t>个。</w:t>
      </w:r>
    </w:p>
    <w:p w14:paraId="424579DD">
      <w:pPr>
        <w:keepNext w:val="0"/>
        <w:keepLines w:val="0"/>
        <w:pageBreakBefore w:val="0"/>
        <w:widowControl w:val="0"/>
        <w:kinsoku/>
        <w:wordWrap/>
        <w:topLinePunct w:val="0"/>
        <w:autoSpaceDE/>
        <w:autoSpaceDN/>
        <w:bidi w:val="0"/>
        <w:adjustRightInd/>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二、加快培育上市企业</w:t>
      </w:r>
    </w:p>
    <w:p w14:paraId="7E60DC09">
      <w:pPr>
        <w:keepNext w:val="0"/>
        <w:keepLines w:val="0"/>
        <w:pageBreakBefore w:val="0"/>
        <w:widowControl w:val="0"/>
        <w:kinsoku/>
        <w:wordWrap/>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持续摸清拟上市企业基本情况，完善义安区扶持企业上市政策，为企业定制上市“套餐”，提供“全方位”“保姆式”服务。制定梯次推进计划，按照“成功上市一批、辅导改制一批、签约启动一批、培育储备一批”工作思路，推动战略性新兴产业和资本融合发展，支持企业加快股份制改造进程。建立上市企业后备资源库，按照企业所处的不同阶段，对企业实行“靶向”分类培育辅导，对具有上市意向的企业，加强政策指导，引导实行股份制改革，加强与创投风投基金对接。对已符合</w:t>
      </w:r>
      <w:r>
        <w:rPr>
          <w:rFonts w:ascii="Times New Roman" w:hAnsi="Times New Roman" w:eastAsia="仿宋_GB2312" w:cs="Times New Roman"/>
          <w:color w:val="000000" w:themeColor="text1"/>
          <w:sz w:val="32"/>
          <w:szCs w:val="32"/>
          <w14:textFill>
            <w14:solidFill>
              <w14:schemeClr w14:val="tx1"/>
            </w14:solidFill>
          </w14:textFill>
        </w:rPr>
        <w:t>IPO</w:t>
      </w:r>
      <w:r>
        <w:rPr>
          <w:rFonts w:hint="eastAsia" w:ascii="方正仿宋_GBK" w:hAnsi="方正仿宋_GBK" w:eastAsia="方正仿宋_GBK" w:cs="方正仿宋_GBK"/>
          <w:color w:val="000000" w:themeColor="text1"/>
          <w:sz w:val="32"/>
          <w:szCs w:val="32"/>
          <w14:textFill>
            <w14:solidFill>
              <w14:schemeClr w14:val="tx1"/>
            </w14:solidFill>
          </w14:textFill>
        </w:rPr>
        <w:t>上市基本条件的企业，帮助对接优质中介机构，给予企业股改、兼并重组、引入战略投资者等辅导。对已提供上市申报材料的企业，组建“一对一”工作专班，加快上市进程，对即将上市企业提前奖励企业控股人和核心管理团队。成立上市企业协会，通过联谊、交流活动，强化区内上市企业、拟上市企业、企业服务机构之间的沟通交流和业务合作，加快企业上市进程。总结并推广百舸争流成功上市模式，推动区内更多科技型企业上市。</w:t>
      </w:r>
    </w:p>
    <w:p w14:paraId="64E653C8">
      <w:pPr>
        <w:keepNext w:val="0"/>
        <w:keepLines w:val="0"/>
        <w:pageBreakBefore w:val="0"/>
        <w:widowControl w:val="0"/>
        <w:kinsoku/>
        <w:wordWrap/>
        <w:topLinePunct w:val="0"/>
        <w:autoSpaceDE/>
        <w:autoSpaceDN/>
        <w:bidi w:val="0"/>
        <w:adjustRightInd/>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三、推动培育“专精特新”企业</w:t>
      </w:r>
    </w:p>
    <w:p w14:paraId="73290C13">
      <w:pPr>
        <w:keepNext w:val="0"/>
        <w:keepLines w:val="0"/>
        <w:pageBreakBefore w:val="0"/>
        <w:widowControl w:val="0"/>
        <w:kinsoku/>
        <w:wordWrap/>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建立“专精特新”企业培育库，完善入库培育标准，针对战新产业，遴选一批创新能力强、成长速度快的企业重点培育，定期开展检测分析，认定一批市级科技小巨人企业和专精特新产品，从政策、要素、服务等方面给予支持。开展“专精特新”企业轮训，组织企业管理层赴中科大等高校开展培训学习活动，提升企业经营管理能力。组织“专精特新”企业家沙龙活动，选择一批创业型、实干型企业，开展专题论坛、参观考察、产学研交流等活动，为“专精特新”企业家搭建政企沟通、产业协作、学习交流的平台。积极发挥产业、创业投资引导基金、天使投资基金、信贷引导资金以及其他各类投资基金作用，拓宽“专精特新”企业融资渠道。</w:t>
      </w:r>
    </w:p>
    <w:p w14:paraId="08C12EBD">
      <w:pPr>
        <w:keepNext w:val="0"/>
        <w:keepLines w:val="0"/>
        <w:pageBreakBefore w:val="0"/>
        <w:widowControl w:val="0"/>
        <w:kinsoku/>
        <w:wordWrap/>
        <w:topLinePunct w:val="0"/>
        <w:autoSpaceDE/>
        <w:autoSpaceDN/>
        <w:bidi w:val="0"/>
        <w:adjustRightInd/>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四、重点扶持小微企业</w:t>
      </w:r>
    </w:p>
    <w:p w14:paraId="762AC99F">
      <w:pPr>
        <w:keepNext w:val="0"/>
        <w:keepLines w:val="0"/>
        <w:pageBreakBefore w:val="0"/>
        <w:widowControl w:val="0"/>
        <w:kinsoku/>
        <w:wordWrap/>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大力实施“雏鹰行动”，持续开展小微企业梯度培育专项工作，完善创业孵化体系和中小企业创新服务体系，促进中小企业技术创新、管理创新和商业模式创新，大力培育创业载体，建设一批中小企业创业基地，培育一批以战略性新兴技术企业为骨干的中小型企业集群。全面实施小微企业培育计划，建立小微企业动态管理机制，重点遴选一批初创型、科技型、品牌型小微企业，建立梯次培育库，实行定制化联系帮扶，推进科技研发、专业知识、工匠技能合作共享。依托铜陵市科技成果转化服务平台，为小微企业提供技术需求信息发布、成果对接等服务。</w:t>
      </w:r>
    </w:p>
    <w:p w14:paraId="6285C51B">
      <w:pPr>
        <w:pStyle w:val="3"/>
        <w:keepNext w:val="0"/>
        <w:keepLines w:val="0"/>
        <w:pageBreakBefore w:val="0"/>
        <w:widowControl w:val="0"/>
        <w:kinsoku/>
        <w:wordWrap/>
        <w:topLinePunct w:val="0"/>
        <w:autoSpaceDE/>
        <w:autoSpaceDN/>
        <w:bidi w:val="0"/>
        <w:adjustRightInd/>
        <w:snapToGrid/>
        <w:spacing w:line="590" w:lineRule="exact"/>
        <w:textAlignment w:val="auto"/>
        <w:rPr>
          <w:bCs/>
        </w:rPr>
      </w:pPr>
      <w:bookmarkStart w:id="76" w:name="_Toc76137888"/>
      <w:bookmarkStart w:id="77" w:name="_Toc6229"/>
      <w:bookmarkStart w:id="78" w:name="_Toc76137564"/>
      <w:bookmarkStart w:id="79" w:name="_Toc76137917"/>
      <w:r>
        <w:rPr>
          <w:rFonts w:hint="eastAsia" w:ascii="方正楷体_GBK" w:hAnsi="方正楷体_GBK" w:eastAsia="方正楷体_GBK" w:cs="方正楷体_GBK"/>
          <w:b w:val="0"/>
          <w:bCs/>
        </w:rPr>
        <w:t>第三节 平台提升行动</w:t>
      </w:r>
      <w:bookmarkEnd w:id="76"/>
      <w:bookmarkEnd w:id="77"/>
      <w:bookmarkEnd w:id="78"/>
      <w:bookmarkEnd w:id="79"/>
    </w:p>
    <w:p w14:paraId="40E78FD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深入贯彻落实《安徽省关于促进全省开发区和高新区高质量发展意见》，推进产业载体集聚化、智能化、高端化发展，全力打造义安经济技术开发区、铜陵国家农业科技园区两大战略性新兴产业发展平台，力争“十四五”末，产业承载力强、发展特色鲜明的战新产业平台体系基本建成，将义安经济开发区打造成省级高新技术产业开发区。</w:t>
      </w:r>
    </w:p>
    <w:p w14:paraId="0E856487">
      <w:pPr>
        <w:keepNext w:val="0"/>
        <w:keepLines w:val="0"/>
        <w:pageBreakBefore w:val="0"/>
        <w:widowControl w:val="0"/>
        <w:kinsoku/>
        <w:wordWrap/>
        <w:topLinePunct w:val="0"/>
        <w:autoSpaceDE/>
        <w:autoSpaceDN/>
        <w:bidi w:val="0"/>
        <w:adjustRightInd/>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一、提升园区承载力</w:t>
      </w:r>
    </w:p>
    <w:p w14:paraId="2E6E3E79">
      <w:pPr>
        <w:keepNext w:val="0"/>
        <w:keepLines w:val="0"/>
        <w:pageBreakBefore w:val="0"/>
        <w:widowControl w:val="0"/>
        <w:kinsoku/>
        <w:wordWrap/>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加强园区基础设施建设，按照适度超前原则，推进园区“九通一平”建设，提升园区产业承载力。加快多层标准化厂房建设，大力推进“标准地”改革，实现落地项目“拎包入住”，提升节约集约用地水平。落实单位土地面积投资强度要求，完善项目进入和退出机制，盘活闲置土地和低效用地，提升单位土地效益。推进园区公共污水处理设施、固废处理设施等生产配套建设，提升对产业发展承载能力。发挥义安经开区国家级循环化改造示范园优势，大力推进园区内部循环化改造，对园区进行功能分区，合理布局企业、产业、基础设施及生活区。按照“统一规划、统一供热、统一治污”的要求，对园区内供水、供电、供热、道路、通信等公共基础设施实施绿色化改造，促进共建共享、集成优化。完善园区人才公寓、公共交通、星级酒店、生活娱乐等配套，提升园区对高层次人才吸引力。</w:t>
      </w:r>
    </w:p>
    <w:p w14:paraId="565F80F9">
      <w:pPr>
        <w:keepNext w:val="0"/>
        <w:keepLines w:val="0"/>
        <w:pageBreakBefore w:val="0"/>
        <w:widowControl w:val="0"/>
        <w:kinsoku/>
        <w:wordWrap/>
        <w:topLinePunct w:val="0"/>
        <w:autoSpaceDE/>
        <w:autoSpaceDN/>
        <w:bidi w:val="0"/>
        <w:adjustRightInd/>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二、优化平台运营管理</w:t>
      </w:r>
    </w:p>
    <w:p w14:paraId="28E3A235">
      <w:pPr>
        <w:pStyle w:val="5"/>
        <w:keepNext w:val="0"/>
        <w:keepLines w:val="0"/>
        <w:pageBreakBefore w:val="0"/>
        <w:widowControl w:val="0"/>
        <w:kinsoku/>
        <w:wordWrap/>
        <w:topLinePunct w:val="0"/>
        <w:autoSpaceDE/>
        <w:autoSpaceDN/>
        <w:bidi w:val="0"/>
        <w:adjustRightInd/>
        <w:snapToGrid/>
        <w:spacing w:line="590" w:lineRule="exact"/>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建立授权事项清单制度，完善园区科技创新、产业促进、人才引进、市场准入、项目审批、财政金融等经济管理权限，提升园区办事效率。鼓励开发区市场化运营改革，探索“管委会+公司”发展模式，鼓励社会资本参与园区建设，通过市场化运作，提升园区运营管理的专业化水平。探索学习“双主体”管理机制，建立市场主导、政府支持的管理运行机制，设立管委会与开发公司“一会两委”工作制，定期召开管委会、开发公司联席会议，重大事项坚持共同协商、共同决策，推进管委会与平台公司“双主体”一体化管理运作。</w:t>
      </w:r>
    </w:p>
    <w:p w14:paraId="3FD28540">
      <w:pPr>
        <w:keepNext w:val="0"/>
        <w:keepLines w:val="0"/>
        <w:pageBreakBefore w:val="0"/>
        <w:widowControl w:val="0"/>
        <w:kinsoku/>
        <w:wordWrap/>
        <w:topLinePunct w:val="0"/>
        <w:autoSpaceDE/>
        <w:autoSpaceDN/>
        <w:bidi w:val="0"/>
        <w:adjustRightInd/>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三、推进智慧园区建设</w:t>
      </w:r>
    </w:p>
    <w:p w14:paraId="0A4EB25C">
      <w:pPr>
        <w:pStyle w:val="5"/>
        <w:keepNext w:val="0"/>
        <w:keepLines w:val="0"/>
        <w:pageBreakBefore w:val="0"/>
        <w:widowControl w:val="0"/>
        <w:kinsoku/>
        <w:wordWrap/>
        <w:topLinePunct w:val="0"/>
        <w:autoSpaceDE/>
        <w:autoSpaceDN/>
        <w:bidi w:val="0"/>
        <w:adjustRightInd/>
        <w:snapToGrid/>
        <w:spacing w:line="590" w:lineRule="exact"/>
        <w:textAlignment w:val="auto"/>
        <w:rPr>
          <w:rFonts w:eastAsia="仿宋_GB2312" w:cs="Times New Roman"/>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加快新型基础设施建设，扩大公共区域无线网络覆盖面，力争在“十四五”期间，实现</w:t>
      </w:r>
      <w:r>
        <w:rPr>
          <w:rFonts w:eastAsia="仿宋_GB2312" w:cs="Times New Roman"/>
          <w:color w:val="000000" w:themeColor="text1"/>
          <w:sz w:val="32"/>
          <w:szCs w:val="32"/>
          <w14:textFill>
            <w14:solidFill>
              <w14:schemeClr w14:val="tx1"/>
            </w14:solidFill>
          </w14:textFill>
        </w:rPr>
        <w:t>5G</w:t>
      </w:r>
      <w:r>
        <w:rPr>
          <w:rFonts w:hint="eastAsia" w:ascii="方正仿宋_GBK" w:hAnsi="方正仿宋_GBK" w:eastAsia="方正仿宋_GBK" w:cs="方正仿宋_GBK"/>
          <w:color w:val="000000" w:themeColor="text1"/>
          <w:sz w:val="32"/>
          <w:szCs w:val="32"/>
          <w14:textFill>
            <w14:solidFill>
              <w14:schemeClr w14:val="tx1"/>
            </w14:solidFill>
          </w14:textFill>
        </w:rPr>
        <w:t>通信网络园区全覆盖。依托大数据、物联网等基础服务体系，搭建智慧服务平台，建立招商数据资料库、招商项目管理等应用系统，实现线上招商、云招商。以战略性新兴产业发展和园区企业需求为中心，为企业提供信息基础设施、项目建设、投融资、人力资源、科技创新、产业协作等服务。对重大风险源、重点污染企业、电网能耗管理提供日常监测、监测预警、应急救援等服务，实现智能预警、智能调度和指挥。加强信息安全保障，探索设立“义安区智慧园区”信息安全管理中心，统筹信息安全和应急处置工作，提高系统管理、网络管理、应用管理、安全审计和安全保密能力。</w:t>
      </w:r>
    </w:p>
    <w:p w14:paraId="081D1931">
      <w:pPr>
        <w:keepNext w:val="0"/>
        <w:keepLines w:val="0"/>
        <w:pageBreakBefore w:val="0"/>
        <w:widowControl w:val="0"/>
        <w:kinsoku/>
        <w:wordWrap/>
        <w:topLinePunct w:val="0"/>
        <w:autoSpaceDE/>
        <w:autoSpaceDN/>
        <w:bidi w:val="0"/>
        <w:adjustRightInd/>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四、优化营商环境</w:t>
      </w:r>
    </w:p>
    <w:p w14:paraId="5F5C0EE4">
      <w:pPr>
        <w:pStyle w:val="5"/>
        <w:keepNext w:val="0"/>
        <w:keepLines w:val="0"/>
        <w:pageBreakBefore w:val="0"/>
        <w:widowControl w:val="0"/>
        <w:kinsoku/>
        <w:wordWrap/>
        <w:topLinePunct w:val="0"/>
        <w:autoSpaceDE/>
        <w:autoSpaceDN/>
        <w:bidi w:val="0"/>
        <w:adjustRightInd/>
        <w:snapToGrid/>
        <w:spacing w:line="590" w:lineRule="exact"/>
        <w:textAlignment w:val="auto"/>
        <w:rPr>
          <w:rFonts w:hint="eastAsia" w:ascii="方正仿宋_GBK" w:hAnsi="方正仿宋_GBK" w:eastAsia="方正仿宋_GBK" w:cs="方正仿宋_GBK"/>
          <w:bCs/>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进一步深化园区“放管服”改革，加快园区投资项目审批改革，探索实行企业投资项目承诺制、容缺受理制，减少不必要的行政干预和审批备案事项，探索实行“一枚公章管审批、一个中心全覆盖”的便利化审批方式。持续推进“多证合一、一照一码”登记、企业开办“一表”填报、“首问负责制”等制度改革，压缩企业开办时间，实现企业名称自主申报。提升企业服务水平，聚焦企业办事全流程便利，破解优化营商环境中的体制机制难题，牢固树立服务企业的“店小二”意识，努力让每一位企业家都安心经营、放心发展，感受到义安营商环境的温度。定期举办义安区企业家沙龙、茶话会等活动，</w:t>
      </w:r>
      <w:r>
        <w:rPr>
          <w:rFonts w:hint="eastAsia" w:ascii="方正仿宋_GBK" w:hAnsi="方正仿宋_GBK" w:eastAsia="方正仿宋_GBK" w:cs="方正仿宋_GBK"/>
          <w:bCs/>
          <w:color w:val="000000" w:themeColor="text1"/>
          <w:sz w:val="32"/>
          <w:szCs w:val="32"/>
          <w14:textFill>
            <w14:solidFill>
              <w14:schemeClr w14:val="tx1"/>
            </w14:solidFill>
          </w14:textFill>
        </w:rPr>
        <w:t>营造激发企业家精神的良好氛围。</w:t>
      </w:r>
    </w:p>
    <w:tbl>
      <w:tblPr>
        <w:tblStyle w:val="1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657"/>
      </w:tblGrid>
      <w:tr w14:paraId="412758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657" w:type="dxa"/>
            <w:shd w:val="clear" w:color="auto" w:fill="auto"/>
            <w:vAlign w:val="center"/>
          </w:tcPr>
          <w:p w14:paraId="69B43377">
            <w:pPr>
              <w:pStyle w:val="5"/>
              <w:spacing w:line="500" w:lineRule="exact"/>
              <w:ind w:firstLine="0"/>
              <w:jc w:val="center"/>
              <w:rPr>
                <w:rFonts w:ascii="方正小标宋简体" w:eastAsia="方正小标宋简体" w:cs="Times New Roman"/>
                <w:bCs/>
                <w:color w:val="000000" w:themeColor="text1"/>
                <w:sz w:val="32"/>
                <w:szCs w:val="32"/>
                <w14:textFill>
                  <w14:solidFill>
                    <w14:schemeClr w14:val="tx1"/>
                  </w14:solidFill>
                </w14:textFill>
              </w:rPr>
            </w:pPr>
            <w:r>
              <w:rPr>
                <w:rFonts w:ascii="方正小标宋简体" w:eastAsia="方正小标宋简体" w:cs="Times New Roman"/>
                <w:bCs/>
                <w:color w:val="000000" w:themeColor="text1"/>
                <w:sz w:val="32"/>
                <w:szCs w:val="32"/>
                <w14:textFill>
                  <w14:solidFill>
                    <w14:schemeClr w14:val="tx1"/>
                  </w14:solidFill>
                </w14:textFill>
              </w:rPr>
              <w:t>专栏</w:t>
            </w:r>
            <w:r>
              <w:rPr>
                <w:rFonts w:eastAsia="方正小标宋简体" w:cs="Times New Roman"/>
                <w:bCs/>
                <w:color w:val="000000" w:themeColor="text1"/>
                <w:sz w:val="32"/>
                <w:szCs w:val="32"/>
                <w14:textFill>
                  <w14:solidFill>
                    <w14:schemeClr w14:val="tx1"/>
                  </w14:solidFill>
                </w14:textFill>
              </w:rPr>
              <w:t>8</w:t>
            </w:r>
            <w:r>
              <w:rPr>
                <w:rFonts w:ascii="方正小标宋简体" w:eastAsia="方正小标宋简体" w:cs="Times New Roman"/>
                <w:bCs/>
                <w:color w:val="000000" w:themeColor="text1"/>
                <w:sz w:val="32"/>
                <w:szCs w:val="32"/>
                <w14:textFill>
                  <w14:solidFill>
                    <w14:schemeClr w14:val="tx1"/>
                  </w14:solidFill>
                </w14:textFill>
              </w:rPr>
              <w:t>：平台提升项目</w:t>
            </w:r>
          </w:p>
        </w:tc>
      </w:tr>
      <w:tr w14:paraId="5E240C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657" w:type="dxa"/>
            <w:shd w:val="clear" w:color="auto" w:fill="auto"/>
            <w:vAlign w:val="center"/>
          </w:tcPr>
          <w:p w14:paraId="1D8DA5F3">
            <w:pPr>
              <w:pStyle w:val="5"/>
              <w:spacing w:line="500" w:lineRule="exact"/>
              <w:ind w:firstLine="0"/>
              <w:rPr>
                <w:rFonts w:eastAsia="宋体" w:cs="Times New Roman"/>
                <w:color w:val="000000" w:themeColor="text1"/>
                <w:szCs w:val="28"/>
                <w14:textFill>
                  <w14:solidFill>
                    <w14:schemeClr w14:val="tx1"/>
                  </w14:solidFill>
                </w14:textFill>
              </w:rPr>
            </w:pPr>
            <w:r>
              <w:rPr>
                <w:rFonts w:eastAsia="宋体" w:cs="Times New Roman"/>
                <w:color w:val="000000" w:themeColor="text1"/>
                <w:szCs w:val="28"/>
                <w14:textFill>
                  <w14:solidFill>
                    <w14:schemeClr w14:val="tx1"/>
                  </w14:solidFill>
                </w14:textFill>
              </w:rPr>
              <w:t>嘉铜金属制品产业园建设项目、汽车零部件智能装备产业园项目、义安区经济开发区智慧园区建设项目</w:t>
            </w:r>
            <w:r>
              <w:rPr>
                <w:rFonts w:hint="eastAsia" w:eastAsia="宋体" w:cs="Times New Roman"/>
                <w:color w:val="000000" w:themeColor="text1"/>
                <w:szCs w:val="28"/>
                <w14:textFill>
                  <w14:solidFill>
                    <w14:schemeClr w14:val="tx1"/>
                  </w14:solidFill>
                </w14:textFill>
              </w:rPr>
              <w:t>。</w:t>
            </w:r>
          </w:p>
        </w:tc>
      </w:tr>
    </w:tbl>
    <w:p w14:paraId="27EF5871">
      <w:pPr>
        <w:pStyle w:val="3"/>
        <w:pageBreakBefore w:val="0"/>
        <w:widowControl w:val="0"/>
        <w:kinsoku/>
        <w:wordWrap/>
        <w:overflowPunct/>
        <w:topLinePunct w:val="0"/>
        <w:bidi w:val="0"/>
        <w:snapToGrid/>
        <w:spacing w:line="590" w:lineRule="exact"/>
        <w:textAlignment w:val="auto"/>
        <w:rPr>
          <w:rFonts w:hint="eastAsia" w:ascii="方正楷体_GBK" w:hAnsi="方正楷体_GBK" w:eastAsia="方正楷体_GBK" w:cs="方正楷体_GBK"/>
          <w:b w:val="0"/>
          <w:bCs/>
        </w:rPr>
      </w:pPr>
      <w:bookmarkStart w:id="80" w:name="_Toc76137889"/>
      <w:bookmarkStart w:id="81" w:name="_Toc76137565"/>
      <w:bookmarkStart w:id="82" w:name="_Toc9332"/>
      <w:bookmarkStart w:id="83" w:name="_Toc76137918"/>
      <w:r>
        <w:rPr>
          <w:rFonts w:hint="eastAsia" w:ascii="方正楷体_GBK" w:hAnsi="方正楷体_GBK" w:eastAsia="方正楷体_GBK" w:cs="方正楷体_GBK"/>
          <w:b w:val="0"/>
          <w:bCs/>
        </w:rPr>
        <w:t>第四节 融合发展行动</w:t>
      </w:r>
      <w:bookmarkEnd w:id="80"/>
      <w:bookmarkEnd w:id="81"/>
      <w:bookmarkEnd w:id="82"/>
      <w:bookmarkEnd w:id="83"/>
    </w:p>
    <w:p w14:paraId="2420BB59">
      <w:pPr>
        <w:pageBreakBefore w:val="0"/>
        <w:widowControl w:val="0"/>
        <w:kinsoku/>
        <w:wordWrap/>
        <w:overflowPunct/>
        <w:topLinePunct w:val="0"/>
        <w:bidi w:val="0"/>
        <w:snapToGrid/>
        <w:spacing w:line="590" w:lineRule="exact"/>
        <w:ind w:firstLine="640" w:firstLineChars="200"/>
        <w:textAlignment w:val="auto"/>
        <w:rPr>
          <w:rFonts w:ascii="Times New Roman" w:hAnsi="Times New Roman" w:eastAsia="仿宋_GB2312" w:cs="Times New Roman"/>
          <w:b/>
          <w:bCs/>
          <w:sz w:val="32"/>
          <w:szCs w:val="32"/>
        </w:rPr>
      </w:pPr>
      <w:r>
        <w:rPr>
          <w:rFonts w:hint="eastAsia" w:ascii="方正仿宋_GBK" w:hAnsi="方正仿宋_GBK" w:eastAsia="方正仿宋_GBK" w:cs="方正仿宋_GBK"/>
          <w:sz w:val="32"/>
          <w:szCs w:val="32"/>
        </w:rPr>
        <w:t>依托技术创新、链条延伸，深入推进先进制造业与现代服务业、工业化与信息化融合发展，力争“十四五”末，深度融合型的新业态新模式新平台加快涌现，全区两业融合示范企业和平台累计达</w:t>
      </w:r>
      <w:r>
        <w:rPr>
          <w:rFonts w:ascii="Times New Roman" w:hAnsi="Times New Roman" w:eastAsia="仿宋_GB2312" w:cs="Times New Roman"/>
          <w:sz w:val="32"/>
          <w:szCs w:val="32"/>
        </w:rPr>
        <w:t>2</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3</w:t>
      </w:r>
      <w:r>
        <w:rPr>
          <w:rFonts w:hint="eastAsia" w:ascii="方正仿宋_GBK" w:hAnsi="方正仿宋_GBK" w:eastAsia="方正仿宋_GBK" w:cs="方正仿宋_GBK"/>
          <w:sz w:val="32"/>
          <w:szCs w:val="32"/>
        </w:rPr>
        <w:t>家；国家两化融合贯标认证企业达</w:t>
      </w:r>
      <w:r>
        <w:rPr>
          <w:rFonts w:ascii="Times New Roman" w:hAnsi="Times New Roman" w:eastAsia="仿宋_GB2312" w:cs="Times New Roman"/>
          <w:sz w:val="32"/>
          <w:szCs w:val="32"/>
        </w:rPr>
        <w:t>3</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5</w:t>
      </w:r>
      <w:r>
        <w:rPr>
          <w:rFonts w:hint="eastAsia" w:ascii="方正仿宋_GBK" w:hAnsi="方正仿宋_GBK" w:eastAsia="方正仿宋_GBK" w:cs="方正仿宋_GBK"/>
          <w:sz w:val="32"/>
          <w:szCs w:val="32"/>
        </w:rPr>
        <w:t>家。</w:t>
      </w:r>
    </w:p>
    <w:p w14:paraId="16C00613">
      <w:pPr>
        <w:pageBreakBefore w:val="0"/>
        <w:widowControl w:val="0"/>
        <w:kinsoku/>
        <w:wordWrap/>
        <w:overflowPunct/>
        <w:topLinePunct w:val="0"/>
        <w:bidi w:val="0"/>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一、深入推进两业融合进度</w:t>
      </w:r>
    </w:p>
    <w:p w14:paraId="5FB5B7FB">
      <w:pPr>
        <w:pageBreakBefore w:val="0"/>
        <w:widowControl w:val="0"/>
        <w:kinsoku/>
        <w:wordWrap/>
        <w:overflowPunct/>
        <w:topLinePunct w:val="0"/>
        <w:bidi w:val="0"/>
        <w:snapToGrid/>
        <w:spacing w:line="590" w:lineRule="exact"/>
        <w:ind w:firstLine="643"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b/>
          <w:bCs/>
          <w:color w:val="000000" w:themeColor="text1"/>
          <w:sz w:val="32"/>
          <w:szCs w:val="32"/>
          <w14:textFill>
            <w14:solidFill>
              <w14:schemeClr w14:val="tx1"/>
            </w14:solidFill>
          </w14:textFill>
        </w:rPr>
        <w:t>制造业延伸发展服务业。</w:t>
      </w:r>
      <w:r>
        <w:rPr>
          <w:rFonts w:hint="eastAsia" w:ascii="方正仿宋_GBK" w:hAnsi="方正仿宋_GBK" w:eastAsia="方正仿宋_GBK" w:cs="方正仿宋_GBK"/>
          <w:color w:val="000000" w:themeColor="text1"/>
          <w:sz w:val="32"/>
          <w:szCs w:val="32"/>
          <w14:textFill>
            <w14:solidFill>
              <w14:schemeClr w14:val="tx1"/>
            </w14:solidFill>
          </w14:textFill>
        </w:rPr>
        <w:t>在新材料、高端装备制造、节能环保、绿色食品等制造行业延伸发展服务业领域。引导铜材、钢铁等领域企业延伸发展固废循环利用、污水处理及热电联产等服务。支持中车加快轨道交通及智能运输装备研发技术服务平台建设，提升对全区智能运输装备研发服务水平。鼓励节能环保领域企业积极拓展环保管家、金属资源再利用技术咨询及固废利用解决方案等服务领域。依托义安区中医药文化底蕴和交通区位优势，支持中药生产企业特色发展研学游及药材物流等领域。引导绿色食品生产企业探索电商直播、物流仓储等领域，扩大本地绿色食品销量。</w:t>
      </w:r>
    </w:p>
    <w:p w14:paraId="595FF10C">
      <w:pPr>
        <w:pageBreakBefore w:val="0"/>
        <w:widowControl w:val="0"/>
        <w:kinsoku/>
        <w:wordWrap/>
        <w:overflowPunct/>
        <w:topLinePunct w:val="0"/>
        <w:bidi w:val="0"/>
        <w:snapToGrid/>
        <w:spacing w:line="590" w:lineRule="exact"/>
        <w:ind w:firstLine="643"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b/>
          <w:bCs/>
          <w:color w:val="000000" w:themeColor="text1"/>
          <w:sz w:val="32"/>
          <w:szCs w:val="32"/>
          <w14:textFill>
            <w14:solidFill>
              <w14:schemeClr w14:val="tx1"/>
            </w14:solidFill>
          </w14:textFill>
        </w:rPr>
        <w:t>服务业衍生发展制造业。</w:t>
      </w:r>
      <w:r>
        <w:rPr>
          <w:rFonts w:hint="eastAsia" w:ascii="方正仿宋_GBK" w:hAnsi="方正仿宋_GBK" w:eastAsia="方正仿宋_GBK" w:cs="方正仿宋_GBK"/>
          <w:color w:val="000000" w:themeColor="text1"/>
          <w:sz w:val="32"/>
          <w:szCs w:val="32"/>
          <w14:textFill>
            <w14:solidFill>
              <w14:schemeClr w14:val="tx1"/>
            </w14:solidFill>
          </w14:textFill>
        </w:rPr>
        <w:t>依托义安区绿色食品产业基础和农产品资源优势，鼓励有实力的电商企业通过委托制造、品牌授权等方式，延伸发展保健品、休闲食品等加工领域，实现生产与销售一体化发展。立足义安区装备制造产业基础，大力引导物流仓</w:t>
      </w:r>
      <w:r>
        <w:rPr>
          <w:rFonts w:hint="eastAsia" w:ascii="方正仿宋_GBK" w:hAnsi="方正仿宋_GBK" w:eastAsia="方正仿宋_GBK" w:cs="方正仿宋_GBK"/>
          <w:color w:val="000000" w:themeColor="text1"/>
          <w:spacing w:val="-8"/>
          <w:sz w:val="32"/>
          <w:szCs w:val="32"/>
          <w14:textFill>
            <w14:solidFill>
              <w14:schemeClr w14:val="tx1"/>
            </w14:solidFill>
          </w14:textFill>
        </w:rPr>
        <w:t>储领域企业向托盘、自动化立体货架等物流装备制造领域延伸发展。</w:t>
      </w:r>
    </w:p>
    <w:p w14:paraId="50AF4388">
      <w:pPr>
        <w:pageBreakBefore w:val="0"/>
        <w:widowControl w:val="0"/>
        <w:kinsoku/>
        <w:wordWrap/>
        <w:overflowPunct/>
        <w:topLinePunct w:val="0"/>
        <w:bidi w:val="0"/>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二、大力提升两化融合水平</w:t>
      </w:r>
    </w:p>
    <w:p w14:paraId="6EBEA101">
      <w:pPr>
        <w:pageBreakBefore w:val="0"/>
        <w:widowControl w:val="0"/>
        <w:kinsoku/>
        <w:wordWrap/>
        <w:overflowPunct/>
        <w:topLinePunct w:val="0"/>
        <w:bidi w:val="0"/>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全面贯彻落实《铜陵市制造业数字化转型三年行动方案》，配套出台相关扶持政策，引导新材料、高端装备制造等领域企业加快数字化步伐，引进数控机床、自动化切割机、抛光机等自动化生产设备及生产制造自动化系统，实现设备互联、数据集成和智能管理。鼓励企业积极申报技改项目，支持有实力的企业加强生产设备技术攻关，加强技术改造与创新，实现生产技术、设备自主化。力争“十四五”末，建成市级以上智能工厂、数字化车间</w:t>
      </w:r>
      <w:r>
        <w:rPr>
          <w:rFonts w:ascii="Times New Roman" w:hAnsi="Times New Roman" w:eastAsia="仿宋_GB2312" w:cs="Times New Roman"/>
          <w:color w:val="000000" w:themeColor="text1"/>
          <w:sz w:val="32"/>
          <w:szCs w:val="32"/>
          <w14:textFill>
            <w14:solidFill>
              <w14:schemeClr w14:val="tx1"/>
            </w14:solidFill>
          </w14:textFill>
        </w:rPr>
        <w:t>5</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10</w:t>
      </w:r>
      <w:r>
        <w:rPr>
          <w:rFonts w:hint="eastAsia" w:ascii="方正仿宋_GBK" w:hAnsi="方正仿宋_GBK" w:eastAsia="方正仿宋_GBK" w:cs="方正仿宋_GBK"/>
          <w:color w:val="000000" w:themeColor="text1"/>
          <w:sz w:val="32"/>
          <w:szCs w:val="32"/>
          <w14:textFill>
            <w14:solidFill>
              <w14:schemeClr w14:val="tx1"/>
            </w14:solidFill>
          </w14:textFill>
        </w:rPr>
        <w:t>个。重点提升企业信息化建设水平，引导、支持企业引入企业资源管理（</w:t>
      </w:r>
      <w:r>
        <w:rPr>
          <w:rFonts w:ascii="Times New Roman" w:hAnsi="Times New Roman" w:eastAsia="仿宋_GB2312" w:cs="Times New Roman"/>
          <w:color w:val="000000" w:themeColor="text1"/>
          <w:sz w:val="32"/>
          <w:szCs w:val="32"/>
          <w14:textFill>
            <w14:solidFill>
              <w14:schemeClr w14:val="tx1"/>
            </w14:solidFill>
          </w14:textFill>
        </w:rPr>
        <w:t>ERP</w:t>
      </w:r>
      <w:r>
        <w:rPr>
          <w:rFonts w:hint="eastAsia" w:ascii="方正仿宋_GBK" w:hAnsi="方正仿宋_GBK" w:eastAsia="方正仿宋_GBK" w:cs="方正仿宋_GBK"/>
          <w:color w:val="000000" w:themeColor="text1"/>
          <w:sz w:val="32"/>
          <w:szCs w:val="32"/>
          <w14:textFill>
            <w14:solidFill>
              <w14:schemeClr w14:val="tx1"/>
            </w14:solidFill>
          </w14:textFill>
        </w:rPr>
        <w:t>）、车间生产管理（</w:t>
      </w:r>
      <w:r>
        <w:rPr>
          <w:rFonts w:ascii="Times New Roman" w:hAnsi="Times New Roman" w:eastAsia="仿宋_GB2312" w:cs="Times New Roman"/>
          <w:color w:val="000000" w:themeColor="text1"/>
          <w:sz w:val="32"/>
          <w:szCs w:val="32"/>
          <w14:textFill>
            <w14:solidFill>
              <w14:schemeClr w14:val="tx1"/>
            </w14:solidFill>
          </w14:textFill>
        </w:rPr>
        <w:t>MES</w:t>
      </w:r>
      <w:r>
        <w:rPr>
          <w:rFonts w:hint="eastAsia" w:ascii="方正仿宋_GBK" w:hAnsi="方正仿宋_GBK" w:eastAsia="方正仿宋_GBK" w:cs="方正仿宋_GBK"/>
          <w:color w:val="000000" w:themeColor="text1"/>
          <w:sz w:val="32"/>
          <w:szCs w:val="32"/>
          <w14:textFill>
            <w14:solidFill>
              <w14:schemeClr w14:val="tx1"/>
            </w14:solidFill>
          </w14:textFill>
        </w:rPr>
        <w:t>）及产品生命周期管理（</w:t>
      </w:r>
      <w:r>
        <w:rPr>
          <w:rFonts w:ascii="Times New Roman" w:hAnsi="Times New Roman" w:eastAsia="仿宋_GB2312" w:cs="Times New Roman"/>
          <w:color w:val="000000" w:themeColor="text1"/>
          <w:sz w:val="32"/>
          <w:szCs w:val="32"/>
          <w14:textFill>
            <w14:solidFill>
              <w14:schemeClr w14:val="tx1"/>
            </w14:solidFill>
          </w14:textFill>
        </w:rPr>
        <w:t>PLM</w:t>
      </w:r>
      <w:r>
        <w:rPr>
          <w:rFonts w:hint="eastAsia" w:ascii="方正仿宋_GBK" w:hAnsi="方正仿宋_GBK" w:eastAsia="方正仿宋_GBK" w:cs="方正仿宋_GBK"/>
          <w:color w:val="000000" w:themeColor="text1"/>
          <w:sz w:val="32"/>
          <w:szCs w:val="32"/>
          <w14:textFill>
            <w14:solidFill>
              <w14:schemeClr w14:val="tx1"/>
            </w14:solidFill>
          </w14:textFill>
        </w:rPr>
        <w:t>）等系统，促进产品研发设计、流程控制、企业管理、市场营销等环节数字化进程，深入实施企业上云行动，推进企业业务系统向云端迁移，实现供应链协同管理。</w:t>
      </w:r>
    </w:p>
    <w:p w14:paraId="22339315">
      <w:pPr>
        <w:pStyle w:val="3"/>
        <w:pageBreakBefore w:val="0"/>
        <w:widowControl w:val="0"/>
        <w:kinsoku/>
        <w:wordWrap/>
        <w:overflowPunct/>
        <w:topLinePunct w:val="0"/>
        <w:bidi w:val="0"/>
        <w:snapToGrid/>
        <w:spacing w:line="590" w:lineRule="exact"/>
        <w:textAlignment w:val="auto"/>
        <w:rPr>
          <w:bCs/>
        </w:rPr>
      </w:pPr>
      <w:bookmarkStart w:id="84" w:name="_Toc32624"/>
      <w:bookmarkStart w:id="85" w:name="_Toc76137566"/>
      <w:bookmarkStart w:id="86" w:name="_Toc76137890"/>
      <w:bookmarkStart w:id="87" w:name="_Toc76137919"/>
      <w:r>
        <w:rPr>
          <w:rFonts w:hint="eastAsia" w:ascii="方正楷体_GBK" w:hAnsi="方正楷体_GBK" w:eastAsia="方正楷体_GBK" w:cs="方正楷体_GBK"/>
          <w:b w:val="0"/>
          <w:bCs/>
        </w:rPr>
        <w:t>第五节 开放合作行动</w:t>
      </w:r>
      <w:bookmarkEnd w:id="84"/>
      <w:bookmarkEnd w:id="85"/>
      <w:bookmarkEnd w:id="86"/>
      <w:bookmarkEnd w:id="87"/>
    </w:p>
    <w:p w14:paraId="2F9E5FE0">
      <w:pPr>
        <w:pageBreakBefore w:val="0"/>
        <w:widowControl w:val="0"/>
        <w:kinsoku/>
        <w:wordWrap/>
        <w:overflowPunct/>
        <w:topLinePunct w:val="0"/>
        <w:bidi w:val="0"/>
        <w:snapToGrid/>
        <w:spacing w:line="59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依托长江黄金水道，深入推进与长三角地区产业合作，积极承接沪苏浙等地产业、创新等资源要素转移，主动融入长三角产业体系，力争到</w:t>
      </w:r>
      <w:r>
        <w:rPr>
          <w:rFonts w:ascii="Times New Roman" w:hAnsi="Times New Roman" w:eastAsia="仿宋_GB2312" w:cs="Times New Roman"/>
          <w:color w:val="000000" w:themeColor="text1"/>
          <w:sz w:val="32"/>
          <w:szCs w:val="32"/>
          <w14:textFill>
            <w14:solidFill>
              <w14:schemeClr w14:val="tx1"/>
            </w14:solidFill>
          </w14:textFill>
        </w:rPr>
        <w:t>2025</w:t>
      </w:r>
      <w:r>
        <w:rPr>
          <w:rFonts w:hint="eastAsia" w:ascii="方正仿宋_GBK" w:hAnsi="方正仿宋_GBK" w:eastAsia="方正仿宋_GBK" w:cs="方正仿宋_GBK"/>
          <w:color w:val="000000" w:themeColor="text1"/>
          <w:sz w:val="32"/>
          <w:szCs w:val="32"/>
          <w14:textFill>
            <w14:solidFill>
              <w14:schemeClr w14:val="tx1"/>
            </w14:solidFill>
          </w14:textFill>
        </w:rPr>
        <w:t>年，将义安区打造成长三角战新产业主配套区，分工明确、合作共赢的产业合作格局基本形成。</w:t>
      </w:r>
    </w:p>
    <w:p w14:paraId="69D0E6A5">
      <w:pPr>
        <w:pageBreakBefore w:val="0"/>
        <w:widowControl w:val="0"/>
        <w:kinsoku/>
        <w:wordWrap/>
        <w:overflowPunct/>
        <w:topLinePunct w:val="0"/>
        <w:bidi w:val="0"/>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一、提升产业协作水平</w:t>
      </w:r>
    </w:p>
    <w:p w14:paraId="0E2D32B8">
      <w:pPr>
        <w:pageBreakBefore w:val="0"/>
        <w:widowControl w:val="0"/>
        <w:kinsoku/>
        <w:wordWrap/>
        <w:overflowPunct/>
        <w:topLinePunct w:val="0"/>
        <w:bidi w:val="0"/>
        <w:snapToGrid/>
        <w:spacing w:line="590" w:lineRule="exact"/>
        <w:ind w:firstLine="643"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rPr>
        <w:t>推动园区合作共建。</w:t>
      </w:r>
      <w:r>
        <w:rPr>
          <w:rFonts w:hint="eastAsia" w:ascii="方正仿宋_GBK" w:hAnsi="方正仿宋_GBK" w:eastAsia="方正仿宋_GBK" w:cs="方正仿宋_GBK"/>
          <w:sz w:val="32"/>
          <w:szCs w:val="32"/>
        </w:rPr>
        <w:t>依托义安区产业基础和企业相关资源，积极寻求与沪苏浙等地发达区县、产业园区合作共建机会。深入对接溧阳市，立足战略合作关系，在产业合作、园区共建等领域加强合作，主动对接溧阳市优质企业资源、创新资源和人才资源等，超前谋划重大合作项目。积极推进义安经济开发区与长三角开发区、产业园区等合作共建园中园、共管园、托管园，探索项目合作、贸易合作、交流合作等运作模式。探索建立合作共建机制体制，完善政策保障，吸引更多合作园区企业入驻经开区，尝试建立利益共享机制，实现互惠共赢。</w:t>
      </w:r>
    </w:p>
    <w:p w14:paraId="76FF6A19">
      <w:pPr>
        <w:pageBreakBefore w:val="0"/>
        <w:widowControl w:val="0"/>
        <w:kinsoku/>
        <w:wordWrap/>
        <w:overflowPunct/>
        <w:topLinePunct w:val="0"/>
        <w:bidi w:val="0"/>
        <w:snapToGrid/>
        <w:spacing w:line="590" w:lineRule="exact"/>
        <w:ind w:firstLine="643"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b/>
          <w:bCs/>
          <w:color w:val="000000" w:themeColor="text1"/>
          <w:sz w:val="32"/>
          <w:szCs w:val="32"/>
          <w14:textFill>
            <w14:solidFill>
              <w14:schemeClr w14:val="tx1"/>
            </w14:solidFill>
          </w14:textFill>
        </w:rPr>
        <w:t>高水平建设省际产业合作园区</w:t>
      </w:r>
      <w:r>
        <w:rPr>
          <w:rFonts w:hint="eastAsia" w:ascii="方正仿宋_GBK" w:hAnsi="方正仿宋_GBK" w:eastAsia="方正仿宋_GBK" w:cs="方正仿宋_GBK"/>
          <w:color w:val="000000" w:themeColor="text1"/>
          <w:sz w:val="32"/>
          <w:szCs w:val="32"/>
          <w14:textFill>
            <w14:solidFill>
              <w14:schemeClr w14:val="tx1"/>
            </w14:solidFill>
          </w14:textFill>
        </w:rPr>
        <w:t>。深入贯彻落实《铜陵义安经开区嘉铜金属制品产业园省际产业合作园区工作方案》，完善嘉铜金属制品产业园产业基础设施建设，提升园区产业承载能力，加大对海盐县汽车紧固件产业承接力度，打造集汽车紧固件制造加工、表面处理包括酸洗磷化和热处理、包装、配套模具生产、固体废弃物处理和物流于一体的完整的汽车紧固件产业体系。依托省际产业合作园区优势平台，积极对接长三角汽车零部件产业合作发展联盟，尝试寻求与上海、常州等汽车城市产业合作机会，争取更多的优质新能源汽车零部件产业资源落户园区。</w:t>
      </w:r>
    </w:p>
    <w:p w14:paraId="3F963632">
      <w:pPr>
        <w:pageBreakBefore w:val="0"/>
        <w:widowControl w:val="0"/>
        <w:kinsoku/>
        <w:wordWrap/>
        <w:overflowPunct/>
        <w:topLinePunct w:val="0"/>
        <w:bidi w:val="0"/>
        <w:snapToGrid/>
        <w:spacing w:line="590" w:lineRule="exact"/>
        <w:ind w:firstLine="640" w:firstLineChars="200"/>
        <w:textAlignment w:val="auto"/>
        <w:outlineLvl w:val="0"/>
        <w:rPr>
          <w:rFonts w:hint="eastAsia" w:ascii="方正黑体_GBK" w:hAnsi="方正黑体_GBK" w:eastAsia="方正黑体_GBK" w:cs="方正黑体_GBK"/>
          <w:sz w:val="32"/>
        </w:rPr>
      </w:pPr>
      <w:r>
        <w:rPr>
          <w:rFonts w:hint="eastAsia" w:ascii="方正黑体_GBK" w:hAnsi="方正黑体_GBK" w:eastAsia="方正黑体_GBK" w:cs="方正黑体_GBK"/>
          <w:sz w:val="32"/>
        </w:rPr>
        <w:t>二、加大“双招双引”力度</w:t>
      </w:r>
    </w:p>
    <w:p w14:paraId="00A9F269">
      <w:pPr>
        <w:pageBreakBefore w:val="0"/>
        <w:widowControl w:val="0"/>
        <w:kinsoku/>
        <w:wordWrap/>
        <w:overflowPunct/>
        <w:topLinePunct w:val="0"/>
        <w:bidi w:val="0"/>
        <w:snapToGrid/>
        <w:spacing w:line="590" w:lineRule="exact"/>
        <w:ind w:firstLine="643"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b/>
          <w:bCs/>
          <w:color w:val="000000" w:themeColor="text1"/>
          <w:sz w:val="32"/>
          <w:szCs w:val="32"/>
          <w14:textFill>
            <w14:solidFill>
              <w14:schemeClr w14:val="tx1"/>
            </w14:solidFill>
          </w14:textFill>
        </w:rPr>
        <w:t>深入推进招商引资</w:t>
      </w:r>
      <w:r>
        <w:rPr>
          <w:rFonts w:hint="eastAsia" w:ascii="方正仿宋_GBK" w:hAnsi="方正仿宋_GBK" w:eastAsia="方正仿宋_GBK" w:cs="方正仿宋_GBK"/>
          <w:color w:val="000000" w:themeColor="text1"/>
          <w:sz w:val="32"/>
          <w:szCs w:val="32"/>
          <w14:textFill>
            <w14:solidFill>
              <w14:schemeClr w14:val="tx1"/>
            </w14:solidFill>
          </w14:textFill>
        </w:rPr>
        <w:t>。聚焦产业链招商，实施重点产业“链长制”招商，围绕全区九大产业链条现有产业基础和优势资源，不断完善产业招商指南，定期梳理、更新招商目标企业名录，明确产业招引方向和重点区域。扩大由区主要领导带队的产业链招商队伍，采取登门拜访等方式，定期在长三角、珠三角等地开展产业链招商工作。充分利用各类商会和行业协会开展委托招商、代理招商等，提升招商活动市场化水平。探索引入公司化、专业化招商机构，鼓励政府购买社会招商服务。创新项目引进机制，建立项目引进信息研判和预审机制，规范落实项目预审会和项目专题会上会流程，不断完善招商引资项目预审论证、跟踪洽谈、专题研究、落地转化以及督查通报机制。完善产业招商政策，突出亩均投资强度和亩均税收对招商引资的“贡献值”，吸引投资额大、牵引力强、成长性高的优质产业项目落户，着力打造招商引资“政策洼地”，促进招引项目数量质量双提升。</w:t>
      </w:r>
    </w:p>
    <w:p w14:paraId="12C55C3F">
      <w:pPr>
        <w:pageBreakBefore w:val="0"/>
        <w:widowControl w:val="0"/>
        <w:kinsoku/>
        <w:wordWrap/>
        <w:overflowPunct/>
        <w:topLinePunct w:val="0"/>
        <w:bidi w:val="0"/>
        <w:snapToGrid/>
        <w:spacing w:line="590" w:lineRule="exact"/>
        <w:ind w:firstLine="643"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b/>
          <w:bCs/>
          <w:color w:val="000000" w:themeColor="text1"/>
          <w:sz w:val="32"/>
          <w:szCs w:val="32"/>
          <w14:textFill>
            <w14:solidFill>
              <w14:schemeClr w14:val="tx1"/>
            </w14:solidFill>
          </w14:textFill>
        </w:rPr>
        <w:t>大力开展招才引智。</w:t>
      </w:r>
      <w:r>
        <w:rPr>
          <w:rFonts w:hint="eastAsia" w:ascii="方正仿宋_GBK" w:hAnsi="方正仿宋_GBK" w:eastAsia="方正仿宋_GBK" w:cs="方正仿宋_GBK"/>
          <w:color w:val="000000" w:themeColor="text1"/>
          <w:sz w:val="32"/>
          <w:szCs w:val="32"/>
          <w14:textFill>
            <w14:solidFill>
              <w14:schemeClr w14:val="tx1"/>
            </w14:solidFill>
          </w14:textFill>
        </w:rPr>
        <w:t>科学制定招才引智规划，针对产业发展，制定并定期发布义安区紧缺性人才目录，加大产业人才和高层次人才引进力度。鼓励企业深化与高校及科研院所合作，推行“项目+人才＋平台”招才引智模式，依托龙头企业、创新平台等，推动更多优质科技成果来义安区落地转化。鼓励铜基新材料领域企业联合设立博士工作站、公共实验室、研发中心等科研平台，吸引一批高层次人才。对标沪苏浙等地人才政策，完善人才招引政策，增强义安区人才引进政策的吸引力。</w:t>
      </w:r>
    </w:p>
    <w:p w14:paraId="387095E9">
      <w:pPr>
        <w:pStyle w:val="2"/>
        <w:pageBreakBefore w:val="0"/>
        <w:widowControl w:val="0"/>
        <w:kinsoku/>
        <w:wordWrap/>
        <w:overflowPunct/>
        <w:topLinePunct w:val="0"/>
        <w:bidi w:val="0"/>
        <w:snapToGrid/>
        <w:spacing w:line="590" w:lineRule="exact"/>
        <w:textAlignment w:val="auto"/>
        <w:rPr>
          <w:rFonts w:hint="eastAsia" w:ascii="方正黑体_GBK" w:hAnsi="方正黑体_GBK" w:eastAsia="方正黑体_GBK" w:cs="方正黑体_GBK"/>
          <w:b/>
          <w:kern w:val="2"/>
          <w:sz w:val="44"/>
        </w:rPr>
      </w:pPr>
      <w:bookmarkStart w:id="88" w:name="_Toc76137920"/>
      <w:bookmarkStart w:id="89" w:name="_Toc545"/>
      <w:bookmarkStart w:id="90" w:name="_Toc76137891"/>
      <w:bookmarkStart w:id="91" w:name="_Toc76137567"/>
      <w:r>
        <w:rPr>
          <w:rFonts w:hint="eastAsia" w:ascii="方正黑体_GBK" w:hAnsi="方正黑体_GBK" w:eastAsia="方正黑体_GBK" w:cs="方正黑体_GBK"/>
        </w:rPr>
        <w:t>第六章 保障措施</w:t>
      </w:r>
      <w:bookmarkEnd w:id="88"/>
      <w:bookmarkEnd w:id="89"/>
      <w:bookmarkEnd w:id="90"/>
      <w:bookmarkEnd w:id="91"/>
    </w:p>
    <w:p w14:paraId="5233D363">
      <w:pPr>
        <w:pStyle w:val="3"/>
        <w:pageBreakBefore w:val="0"/>
        <w:widowControl w:val="0"/>
        <w:kinsoku/>
        <w:wordWrap/>
        <w:overflowPunct/>
        <w:topLinePunct w:val="0"/>
        <w:bidi w:val="0"/>
        <w:snapToGrid/>
        <w:spacing w:line="590" w:lineRule="exact"/>
        <w:textAlignment w:val="auto"/>
        <w:rPr>
          <w:rFonts w:hint="eastAsia" w:ascii="方正楷体_GBK" w:hAnsi="方正楷体_GBK" w:eastAsia="方正楷体_GBK" w:cs="方正楷体_GBK"/>
          <w:b w:val="0"/>
          <w:bCs/>
        </w:rPr>
      </w:pPr>
      <w:bookmarkStart w:id="92" w:name="_Toc76137892"/>
      <w:bookmarkStart w:id="93" w:name="_Toc18957"/>
      <w:bookmarkStart w:id="94" w:name="_Toc76137568"/>
      <w:bookmarkStart w:id="95" w:name="_Toc76137921"/>
      <w:r>
        <w:rPr>
          <w:rFonts w:hint="eastAsia" w:ascii="方正楷体_GBK" w:hAnsi="方正楷体_GBK" w:eastAsia="方正楷体_GBK" w:cs="方正楷体_GBK"/>
          <w:b w:val="0"/>
          <w:bCs/>
        </w:rPr>
        <w:t>第一节 加强组织领导</w:t>
      </w:r>
      <w:bookmarkEnd w:id="92"/>
      <w:bookmarkEnd w:id="93"/>
      <w:bookmarkEnd w:id="94"/>
      <w:bookmarkEnd w:id="95"/>
    </w:p>
    <w:p w14:paraId="294166EA">
      <w:pPr>
        <w:pageBreakBefore w:val="0"/>
        <w:widowControl w:val="0"/>
        <w:kinsoku/>
        <w:wordWrap/>
        <w:overflowPunct/>
        <w:topLinePunct w:val="0"/>
        <w:autoSpaceDE w:val="0"/>
        <w:autoSpaceDN w:val="0"/>
        <w:bidi w:val="0"/>
        <w:adjustRightInd w:val="0"/>
        <w:snapToGrid/>
        <w:spacing w:line="590" w:lineRule="exact"/>
        <w:ind w:firstLine="640" w:firstLineChars="200"/>
        <w:jc w:val="left"/>
        <w:textAlignment w:val="auto"/>
        <w:rPr>
          <w:rFonts w:hint="eastAsia" w:ascii="方正仿宋_GBK" w:hAnsi="方正仿宋_GBK" w:eastAsia="方正仿宋_GBK" w:cs="方正仿宋_GBK"/>
          <w:b/>
          <w:bCs/>
          <w:color w:val="000000" w:themeColor="text1"/>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坚持党的全面领导，健全党对经济社会发展工作的领导机制。成立义安区战略性新兴产业专项工作小组，由义安区主要领导担任组长，相关部门负责同志为成员，强化组织领导体系，统筹解决战略性新兴产业发展过程中遇到的问题。将战略性新兴产业发展成效与干部考核、评先评优和选拔任用挂钩，建立优胜劣汰、动态调整的管理机制，突出奖惩激励导向。加强与上级领导机构沟通交流，</w:t>
      </w:r>
      <w:r>
        <w:rPr>
          <w:rFonts w:hint="eastAsia" w:ascii="方正仿宋_GBK" w:hAnsi="方正仿宋_GBK" w:eastAsia="方正仿宋_GBK" w:cs="方正仿宋_GBK"/>
          <w:color w:val="000000" w:themeColor="text1"/>
          <w:sz w:val="32"/>
          <w:szCs w:val="36"/>
          <w14:textFill>
            <w14:solidFill>
              <w14:schemeClr w14:val="tx1"/>
            </w14:solidFill>
          </w14:textFill>
        </w:rPr>
        <w:t>在创新资源布局、重大项目安排、公共平台建设、政策先试先行、审批绿色通道等方面积极争取上级支持。深入推行产业链“链长制”，实施“一链一策”推进机制，集中力量提高产业链关键要素的配置效率和质量，高效推动产业链发展。</w:t>
      </w:r>
    </w:p>
    <w:p w14:paraId="4D15F2B4">
      <w:pPr>
        <w:pStyle w:val="3"/>
        <w:pageBreakBefore w:val="0"/>
        <w:widowControl w:val="0"/>
        <w:kinsoku/>
        <w:wordWrap/>
        <w:overflowPunct/>
        <w:topLinePunct w:val="0"/>
        <w:bidi w:val="0"/>
        <w:snapToGrid/>
        <w:spacing w:line="590" w:lineRule="exact"/>
        <w:textAlignment w:val="auto"/>
        <w:rPr>
          <w:rFonts w:hint="eastAsia" w:ascii="方正楷体_GBK" w:hAnsi="方正楷体_GBK" w:eastAsia="方正楷体_GBK" w:cs="方正楷体_GBK"/>
          <w:b w:val="0"/>
          <w:bCs/>
        </w:rPr>
      </w:pPr>
      <w:bookmarkStart w:id="96" w:name="_Toc8577"/>
      <w:bookmarkStart w:id="97" w:name="_Toc76137893"/>
      <w:bookmarkStart w:id="98" w:name="_Toc76137922"/>
      <w:bookmarkStart w:id="99" w:name="_Toc76137569"/>
      <w:r>
        <w:rPr>
          <w:rFonts w:hint="eastAsia" w:ascii="方正楷体_GBK" w:hAnsi="方正楷体_GBK" w:eastAsia="方正楷体_GBK" w:cs="方正楷体_GBK"/>
          <w:b w:val="0"/>
          <w:bCs/>
        </w:rPr>
        <w:t>第二节 夯实土地保障</w:t>
      </w:r>
      <w:bookmarkEnd w:id="96"/>
      <w:bookmarkEnd w:id="97"/>
      <w:bookmarkEnd w:id="98"/>
      <w:bookmarkEnd w:id="99"/>
    </w:p>
    <w:p w14:paraId="5E0CB91B">
      <w:pPr>
        <w:pageBreakBefore w:val="0"/>
        <w:widowControl w:val="0"/>
        <w:kinsoku/>
        <w:wordWrap/>
        <w:overflowPunct/>
        <w:topLinePunct w:val="0"/>
        <w:bidi w:val="0"/>
        <w:snapToGrid/>
        <w:spacing w:line="590" w:lineRule="exact"/>
        <w:ind w:firstLine="640" w:firstLineChars="200"/>
        <w:textAlignment w:val="auto"/>
        <w:rPr>
          <w:rFonts w:ascii="Times New Roman" w:hAnsi="Times New Roman" w:cs="Times New Roman"/>
          <w:b/>
          <w:bCs/>
          <w:color w:val="000000" w:themeColor="text1"/>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完善土地保障措施，按照“管住总量、严控增量、盘活存量”的原则强化管理。加强对闲置土地处置、土规规模调整、用地出让方案等重大事项的管理，强化土地资源的集中统筹管理和有效供给。统筹用地规模和指标，优先支持战略性新兴产业发展用地，统筹土地供应和储备，科学编制年度国有建设用地供应计划，做好土地征收成片开发方案编制，保证土地征收成片开发方案应符合区国民经济和社会发展规划、国土空间规划，衔接好国民经济和社会发展年度计划，加强经济建设用地保障，实行公开出让预申请制度，强化区级土地储备统筹管理。严格按照亩均效益标准，提升新建项目准入门槛。</w:t>
      </w:r>
      <w:r>
        <w:rPr>
          <w:rFonts w:hint="eastAsia" w:ascii="方正仿宋_GBK" w:hAnsi="方正仿宋_GBK" w:eastAsia="方正仿宋_GBK" w:cs="方正仿宋_GBK"/>
          <w:color w:val="000000" w:themeColor="text1"/>
          <w:spacing w:val="-6"/>
          <w:kern w:val="3"/>
          <w:sz w:val="32"/>
          <w:szCs w:val="32"/>
          <w14:textFill>
            <w14:solidFill>
              <w14:schemeClr w14:val="tx1"/>
            </w14:solidFill>
          </w14:textFill>
        </w:rPr>
        <w:t>探索</w:t>
      </w:r>
      <w:r>
        <w:rPr>
          <w:rFonts w:hint="eastAsia" w:ascii="方正仿宋_GBK" w:hAnsi="方正仿宋_GBK" w:eastAsia="方正仿宋_GBK" w:cs="方正仿宋_GBK"/>
          <w:color w:val="000000" w:themeColor="text1"/>
          <w:kern w:val="0"/>
          <w:sz w:val="32"/>
          <w:szCs w:val="32"/>
          <w14:textFill>
            <w14:solidFill>
              <w14:schemeClr w14:val="tx1"/>
            </w14:solidFill>
          </w14:textFill>
        </w:rPr>
        <w:t>鼓励建设标准化厂房，支持</w:t>
      </w:r>
      <w:r>
        <w:rPr>
          <w:rFonts w:hint="eastAsia" w:ascii="方正仿宋_GBK" w:hAnsi="方正仿宋_GBK" w:eastAsia="方正仿宋_GBK" w:cs="方正仿宋_GBK"/>
          <w:color w:val="000000" w:themeColor="text1"/>
          <w:sz w:val="32"/>
          <w:szCs w:val="36"/>
          <w14:textFill>
            <w14:solidFill>
              <w14:schemeClr w14:val="tx1"/>
            </w14:solidFill>
          </w14:textFill>
        </w:rPr>
        <w:t>科技研发等轻设备型企业“上楼”，提升土地利用率。</w:t>
      </w:r>
    </w:p>
    <w:p w14:paraId="29263938">
      <w:pPr>
        <w:pStyle w:val="3"/>
        <w:pageBreakBefore w:val="0"/>
        <w:widowControl w:val="0"/>
        <w:kinsoku/>
        <w:wordWrap/>
        <w:overflowPunct/>
        <w:topLinePunct w:val="0"/>
        <w:bidi w:val="0"/>
        <w:snapToGrid/>
        <w:spacing w:line="590" w:lineRule="exact"/>
        <w:textAlignment w:val="auto"/>
        <w:rPr>
          <w:rFonts w:hint="eastAsia" w:ascii="方正楷体_GBK" w:hAnsi="方正楷体_GBK" w:eastAsia="方正楷体_GBK" w:cs="方正楷体_GBK"/>
          <w:b w:val="0"/>
          <w:bCs/>
        </w:rPr>
      </w:pPr>
      <w:bookmarkStart w:id="100" w:name="_Toc76137923"/>
      <w:bookmarkStart w:id="101" w:name="_Toc76137894"/>
      <w:bookmarkStart w:id="102" w:name="_Toc28659"/>
      <w:bookmarkStart w:id="103" w:name="_Toc76137570"/>
      <w:r>
        <w:rPr>
          <w:rFonts w:hint="eastAsia" w:ascii="方正楷体_GBK" w:hAnsi="方正楷体_GBK" w:eastAsia="方正楷体_GBK" w:cs="方正楷体_GBK"/>
          <w:b w:val="0"/>
          <w:bCs/>
        </w:rPr>
        <w:t>第三节 加大金融支持</w:t>
      </w:r>
      <w:bookmarkEnd w:id="100"/>
      <w:bookmarkEnd w:id="101"/>
      <w:bookmarkEnd w:id="102"/>
      <w:bookmarkEnd w:id="103"/>
    </w:p>
    <w:p w14:paraId="3A6DEF36">
      <w:pPr>
        <w:pageBreakBefore w:val="0"/>
        <w:widowControl w:val="0"/>
        <w:kinsoku/>
        <w:wordWrap/>
        <w:overflowPunct/>
        <w:topLinePunct w:val="0"/>
        <w:bidi w:val="0"/>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优化财政支出，加大财政支出向战新产业领域倾斜力度。积极争取铜陵市战略性新兴产业专项引导资金，重点投向重大项目建设、新产品研发和关键技术产业化等领域。积极对接安徽省十大新兴产业“双招双引”母基金，争取在义安区设立针对战新产业发展子基金。深入推动银企对接，继续扩大“过桥资金”、“</w:t>
      </w:r>
      <w:r>
        <w:rPr>
          <w:rFonts w:ascii="Times New Roman" w:hAnsi="Times New Roman" w:eastAsia="仿宋_GB2312" w:cs="Times New Roman"/>
          <w:color w:val="000000" w:themeColor="text1"/>
          <w:sz w:val="32"/>
          <w:szCs w:val="32"/>
          <w14:textFill>
            <w14:solidFill>
              <w14:schemeClr w14:val="tx1"/>
            </w14:solidFill>
          </w14:textFill>
        </w:rPr>
        <w:t>4321</w:t>
      </w:r>
      <w:r>
        <w:rPr>
          <w:rFonts w:hint="eastAsia" w:ascii="方正仿宋_GBK" w:hAnsi="方正仿宋_GBK" w:eastAsia="方正仿宋_GBK" w:cs="方正仿宋_GBK"/>
          <w:color w:val="000000" w:themeColor="text1"/>
          <w:sz w:val="32"/>
          <w:szCs w:val="32"/>
          <w14:textFill>
            <w14:solidFill>
              <w14:schemeClr w14:val="tx1"/>
            </w14:solidFill>
          </w14:textFill>
        </w:rPr>
        <w:t>”新型政银担贷款规模，解决企业资金难题。健全政府部门与金融部门间的信息互通机制，有效连接金融业创新发展供给与地方经济转型升级需求，积极探索建立银政企合作新模式，拓宽企业融资渠道。</w:t>
      </w:r>
    </w:p>
    <w:p w14:paraId="267ECA9A">
      <w:pPr>
        <w:pStyle w:val="3"/>
        <w:pageBreakBefore w:val="0"/>
        <w:widowControl w:val="0"/>
        <w:kinsoku/>
        <w:wordWrap/>
        <w:overflowPunct/>
        <w:topLinePunct w:val="0"/>
        <w:bidi w:val="0"/>
        <w:snapToGrid/>
        <w:spacing w:line="590" w:lineRule="exact"/>
        <w:textAlignment w:val="auto"/>
        <w:rPr>
          <w:bCs/>
        </w:rPr>
      </w:pPr>
      <w:bookmarkStart w:id="104" w:name="_Toc76137924"/>
      <w:bookmarkStart w:id="105" w:name="_Toc7906"/>
      <w:bookmarkStart w:id="106" w:name="_Toc76137571"/>
      <w:bookmarkStart w:id="107" w:name="_Toc76137895"/>
      <w:r>
        <w:rPr>
          <w:rFonts w:hint="eastAsia" w:ascii="方正楷体_GBK" w:hAnsi="方正楷体_GBK" w:eastAsia="方正楷体_GBK" w:cs="方正楷体_GBK"/>
          <w:b w:val="0"/>
          <w:bCs/>
        </w:rPr>
        <w:t>第四节 实施考核评估</w:t>
      </w:r>
      <w:bookmarkEnd w:id="104"/>
      <w:bookmarkEnd w:id="105"/>
      <w:bookmarkEnd w:id="106"/>
      <w:bookmarkEnd w:id="107"/>
    </w:p>
    <w:p w14:paraId="2D8BF0AA">
      <w:pPr>
        <w:pageBreakBefore w:val="0"/>
        <w:widowControl w:val="0"/>
        <w:kinsoku/>
        <w:wordWrap/>
        <w:overflowPunct/>
        <w:topLinePunct w:val="0"/>
        <w:bidi w:val="0"/>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完善战略性新兴产业发展考核评价制度，强化规划实施情况的跟踪分析和监测检查。建立动态评估机制，积极开展阶段性检查和效果评估，对关键指标完成情况展开评估。创新评估方式，运用定量考核与定性评估相结合的方法，采取单位自评、企业评价和综合评价等多种方式，尝试引进社会机构评估等第三方评估制度，全面评估考核各部门的贯彻落实情况。强化考核机制对工作的评估作用，将考核结果运用到工作监督和评价中，实现考核评价的常态化机制。通过考核机制，发现问题，及时处理解决，并建立问题预防机制，从而实现组织效能的大幅跃升。</w:t>
      </w:r>
    </w:p>
    <w:sectPr>
      <w:footerReference r:id="rId3" w:type="default"/>
      <w:footerReference r:id="rId4" w:type="even"/>
      <w:pgSz w:w="11906" w:h="16838"/>
      <w:pgMar w:top="2098" w:right="1531" w:bottom="1984" w:left="1531" w:header="851" w:footer="1247"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黑体"/>
    <w:panose1 w:val="02010601030101010101"/>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KSOF439EEF50">
    <w:panose1 w:val="02000000000000000000"/>
    <w:charset w:val="86"/>
    <w:family w:val="auto"/>
    <w:pitch w:val="default"/>
    <w:sig w:usb0="00000001" w:usb1="00000000" w:usb2="00000000" w:usb3="00000000" w:csb0="00040001"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6CF27">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6443208">
                          <w:pPr>
                            <w:pStyle w:val="9"/>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16443208">
                    <w:pPr>
                      <w:pStyle w:val="9"/>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45E19">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13462C3">
                          <w:pPr>
                            <w:pStyle w:val="9"/>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013462C3">
                    <w:pPr>
                      <w:pStyle w:val="9"/>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14F"/>
    <w:rsid w:val="0000562E"/>
    <w:rsid w:val="000066BB"/>
    <w:rsid w:val="0000776D"/>
    <w:rsid w:val="0001368B"/>
    <w:rsid w:val="0002493C"/>
    <w:rsid w:val="00027351"/>
    <w:rsid w:val="00033F72"/>
    <w:rsid w:val="000376BC"/>
    <w:rsid w:val="00042AD0"/>
    <w:rsid w:val="00054BB9"/>
    <w:rsid w:val="00056AEE"/>
    <w:rsid w:val="00060B06"/>
    <w:rsid w:val="00064FA4"/>
    <w:rsid w:val="00067824"/>
    <w:rsid w:val="00072801"/>
    <w:rsid w:val="00075FD3"/>
    <w:rsid w:val="000760F7"/>
    <w:rsid w:val="00076EAF"/>
    <w:rsid w:val="0008464E"/>
    <w:rsid w:val="0009157E"/>
    <w:rsid w:val="000A4228"/>
    <w:rsid w:val="000A55EB"/>
    <w:rsid w:val="000B5CEE"/>
    <w:rsid w:val="000B7036"/>
    <w:rsid w:val="000B7234"/>
    <w:rsid w:val="000C65FB"/>
    <w:rsid w:val="000C766A"/>
    <w:rsid w:val="000D3DEB"/>
    <w:rsid w:val="000E36F1"/>
    <w:rsid w:val="000F0E24"/>
    <w:rsid w:val="000F6C46"/>
    <w:rsid w:val="0010342A"/>
    <w:rsid w:val="001102D9"/>
    <w:rsid w:val="00112AB2"/>
    <w:rsid w:val="00126546"/>
    <w:rsid w:val="0012697C"/>
    <w:rsid w:val="00134C80"/>
    <w:rsid w:val="001510C6"/>
    <w:rsid w:val="00151BD6"/>
    <w:rsid w:val="00157A55"/>
    <w:rsid w:val="00163CDD"/>
    <w:rsid w:val="00166D36"/>
    <w:rsid w:val="00167FBA"/>
    <w:rsid w:val="001703B5"/>
    <w:rsid w:val="00174F9D"/>
    <w:rsid w:val="001B2870"/>
    <w:rsid w:val="001B2E58"/>
    <w:rsid w:val="001B4DFA"/>
    <w:rsid w:val="001C05D0"/>
    <w:rsid w:val="001C0BF5"/>
    <w:rsid w:val="001E0908"/>
    <w:rsid w:val="002019BB"/>
    <w:rsid w:val="00213484"/>
    <w:rsid w:val="0022131E"/>
    <w:rsid w:val="0024142E"/>
    <w:rsid w:val="00242B6E"/>
    <w:rsid w:val="0025040A"/>
    <w:rsid w:val="002519F7"/>
    <w:rsid w:val="00257847"/>
    <w:rsid w:val="002622AF"/>
    <w:rsid w:val="00262D3B"/>
    <w:rsid w:val="00264AC4"/>
    <w:rsid w:val="00265D63"/>
    <w:rsid w:val="00267A31"/>
    <w:rsid w:val="00270EA6"/>
    <w:rsid w:val="00284451"/>
    <w:rsid w:val="00287042"/>
    <w:rsid w:val="002918BE"/>
    <w:rsid w:val="002A7370"/>
    <w:rsid w:val="002B4193"/>
    <w:rsid w:val="002B422A"/>
    <w:rsid w:val="002C13F0"/>
    <w:rsid w:val="002C5BD0"/>
    <w:rsid w:val="002D7195"/>
    <w:rsid w:val="002E13B3"/>
    <w:rsid w:val="002E6555"/>
    <w:rsid w:val="002F438D"/>
    <w:rsid w:val="00315879"/>
    <w:rsid w:val="003262DC"/>
    <w:rsid w:val="003308E4"/>
    <w:rsid w:val="003362B0"/>
    <w:rsid w:val="00341513"/>
    <w:rsid w:val="00341E16"/>
    <w:rsid w:val="003438C5"/>
    <w:rsid w:val="0035030E"/>
    <w:rsid w:val="00355047"/>
    <w:rsid w:val="003571C6"/>
    <w:rsid w:val="0036141A"/>
    <w:rsid w:val="00365351"/>
    <w:rsid w:val="00384A8A"/>
    <w:rsid w:val="003927F8"/>
    <w:rsid w:val="0039398B"/>
    <w:rsid w:val="003A5A9B"/>
    <w:rsid w:val="003A765E"/>
    <w:rsid w:val="003A7F83"/>
    <w:rsid w:val="003B0D7F"/>
    <w:rsid w:val="003B2D08"/>
    <w:rsid w:val="003B5191"/>
    <w:rsid w:val="003B5F87"/>
    <w:rsid w:val="003C257B"/>
    <w:rsid w:val="003C7D08"/>
    <w:rsid w:val="003D0135"/>
    <w:rsid w:val="003E2112"/>
    <w:rsid w:val="00400C38"/>
    <w:rsid w:val="00402FC7"/>
    <w:rsid w:val="0040444E"/>
    <w:rsid w:val="00405EAE"/>
    <w:rsid w:val="004104C6"/>
    <w:rsid w:val="004271E1"/>
    <w:rsid w:val="0044630F"/>
    <w:rsid w:val="0045746C"/>
    <w:rsid w:val="004674B7"/>
    <w:rsid w:val="00475ECD"/>
    <w:rsid w:val="004844A7"/>
    <w:rsid w:val="00485CBA"/>
    <w:rsid w:val="0049329E"/>
    <w:rsid w:val="0049462C"/>
    <w:rsid w:val="00496AC3"/>
    <w:rsid w:val="00497E33"/>
    <w:rsid w:val="004A0131"/>
    <w:rsid w:val="004A13E9"/>
    <w:rsid w:val="004A2826"/>
    <w:rsid w:val="004A4904"/>
    <w:rsid w:val="004A5AC2"/>
    <w:rsid w:val="004B2C2C"/>
    <w:rsid w:val="004B3B1F"/>
    <w:rsid w:val="004C39BD"/>
    <w:rsid w:val="004D0FB9"/>
    <w:rsid w:val="004D5EA3"/>
    <w:rsid w:val="004D7F13"/>
    <w:rsid w:val="004E3BBE"/>
    <w:rsid w:val="004F1A4B"/>
    <w:rsid w:val="004F4723"/>
    <w:rsid w:val="005010D4"/>
    <w:rsid w:val="00501F6F"/>
    <w:rsid w:val="00502038"/>
    <w:rsid w:val="0050283D"/>
    <w:rsid w:val="00505AEC"/>
    <w:rsid w:val="00515BDA"/>
    <w:rsid w:val="00522DF9"/>
    <w:rsid w:val="00523A74"/>
    <w:rsid w:val="0052704C"/>
    <w:rsid w:val="00537779"/>
    <w:rsid w:val="00542BE1"/>
    <w:rsid w:val="005578D8"/>
    <w:rsid w:val="005815A8"/>
    <w:rsid w:val="00581DCD"/>
    <w:rsid w:val="00596A16"/>
    <w:rsid w:val="005A7093"/>
    <w:rsid w:val="005B022A"/>
    <w:rsid w:val="005B20F3"/>
    <w:rsid w:val="005D2D38"/>
    <w:rsid w:val="005E1AFA"/>
    <w:rsid w:val="005E3055"/>
    <w:rsid w:val="005F75C3"/>
    <w:rsid w:val="00602861"/>
    <w:rsid w:val="00604458"/>
    <w:rsid w:val="006044B7"/>
    <w:rsid w:val="00604D3F"/>
    <w:rsid w:val="00607AF3"/>
    <w:rsid w:val="006161A5"/>
    <w:rsid w:val="00616D44"/>
    <w:rsid w:val="006330DF"/>
    <w:rsid w:val="006339C2"/>
    <w:rsid w:val="00634529"/>
    <w:rsid w:val="00642189"/>
    <w:rsid w:val="00645D94"/>
    <w:rsid w:val="00655643"/>
    <w:rsid w:val="006556BC"/>
    <w:rsid w:val="006660D0"/>
    <w:rsid w:val="006706D5"/>
    <w:rsid w:val="006817A4"/>
    <w:rsid w:val="0068513D"/>
    <w:rsid w:val="006855A9"/>
    <w:rsid w:val="00692092"/>
    <w:rsid w:val="00692488"/>
    <w:rsid w:val="00694069"/>
    <w:rsid w:val="00695E0A"/>
    <w:rsid w:val="006960C5"/>
    <w:rsid w:val="00696A8B"/>
    <w:rsid w:val="006A0159"/>
    <w:rsid w:val="006A534E"/>
    <w:rsid w:val="006B1530"/>
    <w:rsid w:val="006B2DB4"/>
    <w:rsid w:val="006B357A"/>
    <w:rsid w:val="006B4673"/>
    <w:rsid w:val="006B771A"/>
    <w:rsid w:val="006D29B7"/>
    <w:rsid w:val="006D4BA7"/>
    <w:rsid w:val="006E1C02"/>
    <w:rsid w:val="006E62A0"/>
    <w:rsid w:val="006F2834"/>
    <w:rsid w:val="0070258E"/>
    <w:rsid w:val="00702E18"/>
    <w:rsid w:val="00704B00"/>
    <w:rsid w:val="007176AC"/>
    <w:rsid w:val="00727A01"/>
    <w:rsid w:val="00733937"/>
    <w:rsid w:val="00746CCD"/>
    <w:rsid w:val="00761937"/>
    <w:rsid w:val="00766282"/>
    <w:rsid w:val="0077216B"/>
    <w:rsid w:val="00772C2C"/>
    <w:rsid w:val="00773F72"/>
    <w:rsid w:val="0078378D"/>
    <w:rsid w:val="00784F1D"/>
    <w:rsid w:val="0078521E"/>
    <w:rsid w:val="00785A2B"/>
    <w:rsid w:val="007946F4"/>
    <w:rsid w:val="00796C99"/>
    <w:rsid w:val="007A0EB5"/>
    <w:rsid w:val="007A0ECC"/>
    <w:rsid w:val="007A142D"/>
    <w:rsid w:val="007A3656"/>
    <w:rsid w:val="007A3E9F"/>
    <w:rsid w:val="007B5B95"/>
    <w:rsid w:val="007C09CB"/>
    <w:rsid w:val="007C1B0B"/>
    <w:rsid w:val="007C520C"/>
    <w:rsid w:val="007D5124"/>
    <w:rsid w:val="007E05A7"/>
    <w:rsid w:val="007E54D6"/>
    <w:rsid w:val="007F63CF"/>
    <w:rsid w:val="0080014F"/>
    <w:rsid w:val="00805A99"/>
    <w:rsid w:val="008119D2"/>
    <w:rsid w:val="00811A84"/>
    <w:rsid w:val="00812967"/>
    <w:rsid w:val="008201AC"/>
    <w:rsid w:val="00823694"/>
    <w:rsid w:val="00823F88"/>
    <w:rsid w:val="0083556B"/>
    <w:rsid w:val="008366FA"/>
    <w:rsid w:val="0085267C"/>
    <w:rsid w:val="00860252"/>
    <w:rsid w:val="00865A8A"/>
    <w:rsid w:val="008741D0"/>
    <w:rsid w:val="0087447F"/>
    <w:rsid w:val="00874DEC"/>
    <w:rsid w:val="00880C5C"/>
    <w:rsid w:val="00886E2F"/>
    <w:rsid w:val="008966B1"/>
    <w:rsid w:val="008A0669"/>
    <w:rsid w:val="008B13B9"/>
    <w:rsid w:val="008B30FC"/>
    <w:rsid w:val="008C09D4"/>
    <w:rsid w:val="008C16E8"/>
    <w:rsid w:val="008C31FE"/>
    <w:rsid w:val="008C5FB5"/>
    <w:rsid w:val="008E5284"/>
    <w:rsid w:val="008F1495"/>
    <w:rsid w:val="008F1A96"/>
    <w:rsid w:val="008F34A7"/>
    <w:rsid w:val="008F3D22"/>
    <w:rsid w:val="00902595"/>
    <w:rsid w:val="0090284B"/>
    <w:rsid w:val="00904974"/>
    <w:rsid w:val="00907E6F"/>
    <w:rsid w:val="00910453"/>
    <w:rsid w:val="009155E9"/>
    <w:rsid w:val="00915908"/>
    <w:rsid w:val="00917439"/>
    <w:rsid w:val="009319E6"/>
    <w:rsid w:val="009341EB"/>
    <w:rsid w:val="00934D9D"/>
    <w:rsid w:val="00935BE0"/>
    <w:rsid w:val="00936EDD"/>
    <w:rsid w:val="00944A77"/>
    <w:rsid w:val="00946566"/>
    <w:rsid w:val="00952150"/>
    <w:rsid w:val="00960BF1"/>
    <w:rsid w:val="009633F8"/>
    <w:rsid w:val="0096579C"/>
    <w:rsid w:val="00967CCC"/>
    <w:rsid w:val="00970B95"/>
    <w:rsid w:val="00973F3C"/>
    <w:rsid w:val="0097575F"/>
    <w:rsid w:val="0097769C"/>
    <w:rsid w:val="00991E12"/>
    <w:rsid w:val="00995252"/>
    <w:rsid w:val="009A6BD2"/>
    <w:rsid w:val="009C4950"/>
    <w:rsid w:val="009C7D17"/>
    <w:rsid w:val="009D1E32"/>
    <w:rsid w:val="009E280B"/>
    <w:rsid w:val="009E7845"/>
    <w:rsid w:val="009F0214"/>
    <w:rsid w:val="00A0456C"/>
    <w:rsid w:val="00A04638"/>
    <w:rsid w:val="00A120BE"/>
    <w:rsid w:val="00A124C0"/>
    <w:rsid w:val="00A229BD"/>
    <w:rsid w:val="00A25761"/>
    <w:rsid w:val="00A27F10"/>
    <w:rsid w:val="00A34E08"/>
    <w:rsid w:val="00A43A0B"/>
    <w:rsid w:val="00A45E19"/>
    <w:rsid w:val="00A51002"/>
    <w:rsid w:val="00A5505D"/>
    <w:rsid w:val="00A55977"/>
    <w:rsid w:val="00A57404"/>
    <w:rsid w:val="00A6383B"/>
    <w:rsid w:val="00A6461C"/>
    <w:rsid w:val="00A6484E"/>
    <w:rsid w:val="00A740EA"/>
    <w:rsid w:val="00A77561"/>
    <w:rsid w:val="00A80210"/>
    <w:rsid w:val="00A804DF"/>
    <w:rsid w:val="00A86723"/>
    <w:rsid w:val="00A8781C"/>
    <w:rsid w:val="00AB4AF7"/>
    <w:rsid w:val="00AB62C8"/>
    <w:rsid w:val="00AB74B0"/>
    <w:rsid w:val="00AC1B19"/>
    <w:rsid w:val="00AC277E"/>
    <w:rsid w:val="00AC7959"/>
    <w:rsid w:val="00AD3866"/>
    <w:rsid w:val="00AF0EC4"/>
    <w:rsid w:val="00AF3461"/>
    <w:rsid w:val="00AF3F28"/>
    <w:rsid w:val="00AF661B"/>
    <w:rsid w:val="00B008B9"/>
    <w:rsid w:val="00B306AC"/>
    <w:rsid w:val="00B360CC"/>
    <w:rsid w:val="00B42134"/>
    <w:rsid w:val="00B4318F"/>
    <w:rsid w:val="00B43EFF"/>
    <w:rsid w:val="00B519F9"/>
    <w:rsid w:val="00B57D9A"/>
    <w:rsid w:val="00B65599"/>
    <w:rsid w:val="00B77499"/>
    <w:rsid w:val="00B9108A"/>
    <w:rsid w:val="00B92E04"/>
    <w:rsid w:val="00BA0CFA"/>
    <w:rsid w:val="00BA56B6"/>
    <w:rsid w:val="00BA724E"/>
    <w:rsid w:val="00BB6A26"/>
    <w:rsid w:val="00BC6FC3"/>
    <w:rsid w:val="00BD4F2B"/>
    <w:rsid w:val="00BD6FB9"/>
    <w:rsid w:val="00BF3B92"/>
    <w:rsid w:val="00BF7E3B"/>
    <w:rsid w:val="00C070ED"/>
    <w:rsid w:val="00C104E4"/>
    <w:rsid w:val="00C21DCF"/>
    <w:rsid w:val="00C424B5"/>
    <w:rsid w:val="00C426EB"/>
    <w:rsid w:val="00C43931"/>
    <w:rsid w:val="00C43B4E"/>
    <w:rsid w:val="00C44D45"/>
    <w:rsid w:val="00C5000D"/>
    <w:rsid w:val="00C54DD2"/>
    <w:rsid w:val="00C63827"/>
    <w:rsid w:val="00C672FB"/>
    <w:rsid w:val="00C70E6C"/>
    <w:rsid w:val="00C73CC0"/>
    <w:rsid w:val="00C830B3"/>
    <w:rsid w:val="00C87B5E"/>
    <w:rsid w:val="00C94002"/>
    <w:rsid w:val="00C95C63"/>
    <w:rsid w:val="00C97699"/>
    <w:rsid w:val="00CB2611"/>
    <w:rsid w:val="00CB6352"/>
    <w:rsid w:val="00CC2DAE"/>
    <w:rsid w:val="00CC7B54"/>
    <w:rsid w:val="00CD24D0"/>
    <w:rsid w:val="00CE1CAC"/>
    <w:rsid w:val="00CE2E3A"/>
    <w:rsid w:val="00CE61A1"/>
    <w:rsid w:val="00CF42C6"/>
    <w:rsid w:val="00CF7BDD"/>
    <w:rsid w:val="00D01B87"/>
    <w:rsid w:val="00D07C49"/>
    <w:rsid w:val="00D07DFD"/>
    <w:rsid w:val="00D12007"/>
    <w:rsid w:val="00D1384A"/>
    <w:rsid w:val="00D20227"/>
    <w:rsid w:val="00D2745F"/>
    <w:rsid w:val="00D30C28"/>
    <w:rsid w:val="00D31549"/>
    <w:rsid w:val="00D43980"/>
    <w:rsid w:val="00D45E9F"/>
    <w:rsid w:val="00D60310"/>
    <w:rsid w:val="00D626E4"/>
    <w:rsid w:val="00D66215"/>
    <w:rsid w:val="00D67711"/>
    <w:rsid w:val="00D84359"/>
    <w:rsid w:val="00D85710"/>
    <w:rsid w:val="00D85FB2"/>
    <w:rsid w:val="00D87BB8"/>
    <w:rsid w:val="00D9568C"/>
    <w:rsid w:val="00D97C87"/>
    <w:rsid w:val="00DA278B"/>
    <w:rsid w:val="00DA578D"/>
    <w:rsid w:val="00DB3172"/>
    <w:rsid w:val="00DB3A7C"/>
    <w:rsid w:val="00DC5963"/>
    <w:rsid w:val="00DD08A0"/>
    <w:rsid w:val="00DD3DDC"/>
    <w:rsid w:val="00DD46EE"/>
    <w:rsid w:val="00DD62FC"/>
    <w:rsid w:val="00DD6951"/>
    <w:rsid w:val="00DE6124"/>
    <w:rsid w:val="00DF29F3"/>
    <w:rsid w:val="00DF4262"/>
    <w:rsid w:val="00DF6564"/>
    <w:rsid w:val="00DF7562"/>
    <w:rsid w:val="00E01232"/>
    <w:rsid w:val="00E12AAF"/>
    <w:rsid w:val="00E2444F"/>
    <w:rsid w:val="00E47CE9"/>
    <w:rsid w:val="00E57CF9"/>
    <w:rsid w:val="00E723F4"/>
    <w:rsid w:val="00EA6399"/>
    <w:rsid w:val="00EB571C"/>
    <w:rsid w:val="00EB5985"/>
    <w:rsid w:val="00EC03D8"/>
    <w:rsid w:val="00ED38BB"/>
    <w:rsid w:val="00ED7BDF"/>
    <w:rsid w:val="00EE2AA3"/>
    <w:rsid w:val="00EE5351"/>
    <w:rsid w:val="00EE64CB"/>
    <w:rsid w:val="00EE6DBA"/>
    <w:rsid w:val="00EF5503"/>
    <w:rsid w:val="00EF60C6"/>
    <w:rsid w:val="00F01561"/>
    <w:rsid w:val="00F037AE"/>
    <w:rsid w:val="00F043A0"/>
    <w:rsid w:val="00F0719B"/>
    <w:rsid w:val="00F1049F"/>
    <w:rsid w:val="00F148EA"/>
    <w:rsid w:val="00F154DE"/>
    <w:rsid w:val="00F16644"/>
    <w:rsid w:val="00F30967"/>
    <w:rsid w:val="00F31E09"/>
    <w:rsid w:val="00F34971"/>
    <w:rsid w:val="00F37B51"/>
    <w:rsid w:val="00F41A50"/>
    <w:rsid w:val="00F6023D"/>
    <w:rsid w:val="00F627E9"/>
    <w:rsid w:val="00F62BB2"/>
    <w:rsid w:val="00F6390B"/>
    <w:rsid w:val="00F641B7"/>
    <w:rsid w:val="00F6771F"/>
    <w:rsid w:val="00F70324"/>
    <w:rsid w:val="00F740E7"/>
    <w:rsid w:val="00F76002"/>
    <w:rsid w:val="00F85B7E"/>
    <w:rsid w:val="00F8778B"/>
    <w:rsid w:val="00F92E22"/>
    <w:rsid w:val="00F94A4E"/>
    <w:rsid w:val="00F955C5"/>
    <w:rsid w:val="00FA51D6"/>
    <w:rsid w:val="00FB289B"/>
    <w:rsid w:val="00FB3D40"/>
    <w:rsid w:val="00FC65B5"/>
    <w:rsid w:val="00FD226D"/>
    <w:rsid w:val="00FD2DE0"/>
    <w:rsid w:val="00FE54A2"/>
    <w:rsid w:val="00FE621B"/>
    <w:rsid w:val="00FF1564"/>
    <w:rsid w:val="00FF2F4B"/>
    <w:rsid w:val="00FF4012"/>
    <w:rsid w:val="00FF4E2F"/>
    <w:rsid w:val="010E6F98"/>
    <w:rsid w:val="01266A4F"/>
    <w:rsid w:val="01312627"/>
    <w:rsid w:val="01520103"/>
    <w:rsid w:val="016D4620"/>
    <w:rsid w:val="019174A7"/>
    <w:rsid w:val="01F61E1D"/>
    <w:rsid w:val="020309C8"/>
    <w:rsid w:val="0217768A"/>
    <w:rsid w:val="022231B2"/>
    <w:rsid w:val="02527482"/>
    <w:rsid w:val="02725C56"/>
    <w:rsid w:val="02752FE3"/>
    <w:rsid w:val="02871134"/>
    <w:rsid w:val="028843AD"/>
    <w:rsid w:val="02A9709D"/>
    <w:rsid w:val="02C4162D"/>
    <w:rsid w:val="02C77D41"/>
    <w:rsid w:val="031651E2"/>
    <w:rsid w:val="031B0E73"/>
    <w:rsid w:val="032216A0"/>
    <w:rsid w:val="032E60B0"/>
    <w:rsid w:val="03320F96"/>
    <w:rsid w:val="0335161F"/>
    <w:rsid w:val="034D340D"/>
    <w:rsid w:val="03873E03"/>
    <w:rsid w:val="038F5161"/>
    <w:rsid w:val="03B303F4"/>
    <w:rsid w:val="03C47EC0"/>
    <w:rsid w:val="03D26903"/>
    <w:rsid w:val="03DC4200"/>
    <w:rsid w:val="03F3432C"/>
    <w:rsid w:val="040E0C0C"/>
    <w:rsid w:val="040E5DE2"/>
    <w:rsid w:val="041307E8"/>
    <w:rsid w:val="04134894"/>
    <w:rsid w:val="041F1E29"/>
    <w:rsid w:val="04395EB2"/>
    <w:rsid w:val="043C42E8"/>
    <w:rsid w:val="04671200"/>
    <w:rsid w:val="04812963"/>
    <w:rsid w:val="04883C2F"/>
    <w:rsid w:val="04BC312D"/>
    <w:rsid w:val="04BC61A4"/>
    <w:rsid w:val="04CB4612"/>
    <w:rsid w:val="04CF0C9B"/>
    <w:rsid w:val="04EC3B71"/>
    <w:rsid w:val="04ED5A86"/>
    <w:rsid w:val="04F34E71"/>
    <w:rsid w:val="0502389E"/>
    <w:rsid w:val="050A675F"/>
    <w:rsid w:val="052F1F10"/>
    <w:rsid w:val="0546237E"/>
    <w:rsid w:val="05492976"/>
    <w:rsid w:val="057F3C56"/>
    <w:rsid w:val="058839AA"/>
    <w:rsid w:val="05963671"/>
    <w:rsid w:val="05A906F4"/>
    <w:rsid w:val="05AA3E7A"/>
    <w:rsid w:val="05AB5C08"/>
    <w:rsid w:val="05CC6D4D"/>
    <w:rsid w:val="05CD3336"/>
    <w:rsid w:val="05D07AF0"/>
    <w:rsid w:val="05D36AE2"/>
    <w:rsid w:val="05DB7141"/>
    <w:rsid w:val="05F97245"/>
    <w:rsid w:val="06137C96"/>
    <w:rsid w:val="06462B1C"/>
    <w:rsid w:val="064651AD"/>
    <w:rsid w:val="066E295D"/>
    <w:rsid w:val="06800708"/>
    <w:rsid w:val="068563B6"/>
    <w:rsid w:val="06985409"/>
    <w:rsid w:val="06E96580"/>
    <w:rsid w:val="06EC340A"/>
    <w:rsid w:val="06ED1A30"/>
    <w:rsid w:val="06F83587"/>
    <w:rsid w:val="070C032A"/>
    <w:rsid w:val="0723047D"/>
    <w:rsid w:val="072D232A"/>
    <w:rsid w:val="073537A3"/>
    <w:rsid w:val="074B198C"/>
    <w:rsid w:val="075F2085"/>
    <w:rsid w:val="0762161C"/>
    <w:rsid w:val="07793013"/>
    <w:rsid w:val="077D2FBA"/>
    <w:rsid w:val="07903D38"/>
    <w:rsid w:val="07A54516"/>
    <w:rsid w:val="07BD4A81"/>
    <w:rsid w:val="07C44390"/>
    <w:rsid w:val="07C561FA"/>
    <w:rsid w:val="07CB4CD8"/>
    <w:rsid w:val="07D6577C"/>
    <w:rsid w:val="08051934"/>
    <w:rsid w:val="0819743C"/>
    <w:rsid w:val="08307C7F"/>
    <w:rsid w:val="083449EA"/>
    <w:rsid w:val="08435993"/>
    <w:rsid w:val="0854453D"/>
    <w:rsid w:val="08570F75"/>
    <w:rsid w:val="085D03BC"/>
    <w:rsid w:val="08691724"/>
    <w:rsid w:val="087B2EE4"/>
    <w:rsid w:val="087F3C22"/>
    <w:rsid w:val="0887493F"/>
    <w:rsid w:val="08AC39B8"/>
    <w:rsid w:val="08F21F8A"/>
    <w:rsid w:val="09050DE6"/>
    <w:rsid w:val="09170845"/>
    <w:rsid w:val="092D0E54"/>
    <w:rsid w:val="093C6643"/>
    <w:rsid w:val="093E03CA"/>
    <w:rsid w:val="095C7509"/>
    <w:rsid w:val="097B3548"/>
    <w:rsid w:val="09AA3360"/>
    <w:rsid w:val="09B248BF"/>
    <w:rsid w:val="09BC0388"/>
    <w:rsid w:val="09DA0914"/>
    <w:rsid w:val="0A0234AE"/>
    <w:rsid w:val="0A0E50F6"/>
    <w:rsid w:val="0A500BA2"/>
    <w:rsid w:val="0A6A190E"/>
    <w:rsid w:val="0A707DC4"/>
    <w:rsid w:val="0AA169F0"/>
    <w:rsid w:val="0AAB414C"/>
    <w:rsid w:val="0AAB50C4"/>
    <w:rsid w:val="0ACB1474"/>
    <w:rsid w:val="0AE81B48"/>
    <w:rsid w:val="0AF00E0D"/>
    <w:rsid w:val="0B080463"/>
    <w:rsid w:val="0B190D4C"/>
    <w:rsid w:val="0B4E5CB7"/>
    <w:rsid w:val="0B61784E"/>
    <w:rsid w:val="0B6322A6"/>
    <w:rsid w:val="0B685BF1"/>
    <w:rsid w:val="0B7814BF"/>
    <w:rsid w:val="0B795765"/>
    <w:rsid w:val="0BC932FB"/>
    <w:rsid w:val="0BD6598C"/>
    <w:rsid w:val="0C675351"/>
    <w:rsid w:val="0C6B3285"/>
    <w:rsid w:val="0C6E2634"/>
    <w:rsid w:val="0C821A6F"/>
    <w:rsid w:val="0C8560D2"/>
    <w:rsid w:val="0C893BDF"/>
    <w:rsid w:val="0C9579CF"/>
    <w:rsid w:val="0CD75248"/>
    <w:rsid w:val="0CDA24DF"/>
    <w:rsid w:val="0CDE6735"/>
    <w:rsid w:val="0CE82733"/>
    <w:rsid w:val="0CEB0CB9"/>
    <w:rsid w:val="0D0C35F1"/>
    <w:rsid w:val="0D1A5C92"/>
    <w:rsid w:val="0D3A5608"/>
    <w:rsid w:val="0D4022FD"/>
    <w:rsid w:val="0D492BB6"/>
    <w:rsid w:val="0D4A2915"/>
    <w:rsid w:val="0D5C0F44"/>
    <w:rsid w:val="0D6257F5"/>
    <w:rsid w:val="0D732167"/>
    <w:rsid w:val="0D793F70"/>
    <w:rsid w:val="0E0F4D8D"/>
    <w:rsid w:val="0E185BC5"/>
    <w:rsid w:val="0E2059B9"/>
    <w:rsid w:val="0E2C1B3E"/>
    <w:rsid w:val="0E4342AD"/>
    <w:rsid w:val="0E585054"/>
    <w:rsid w:val="0E787931"/>
    <w:rsid w:val="0E894235"/>
    <w:rsid w:val="0E9B7391"/>
    <w:rsid w:val="0EB4396A"/>
    <w:rsid w:val="0ECA554D"/>
    <w:rsid w:val="0EE5779C"/>
    <w:rsid w:val="0EF63CB3"/>
    <w:rsid w:val="0EF739A2"/>
    <w:rsid w:val="0EF84081"/>
    <w:rsid w:val="0F02329B"/>
    <w:rsid w:val="0F0813CF"/>
    <w:rsid w:val="0F0E09F9"/>
    <w:rsid w:val="0F313413"/>
    <w:rsid w:val="0F547B27"/>
    <w:rsid w:val="0F630074"/>
    <w:rsid w:val="0F6804B9"/>
    <w:rsid w:val="0F780032"/>
    <w:rsid w:val="0F7A3DF2"/>
    <w:rsid w:val="0F9C5F14"/>
    <w:rsid w:val="0FA10CEA"/>
    <w:rsid w:val="0FA97F56"/>
    <w:rsid w:val="0FEF39F0"/>
    <w:rsid w:val="0FF66523"/>
    <w:rsid w:val="0FFE0756"/>
    <w:rsid w:val="10082BCA"/>
    <w:rsid w:val="103B6750"/>
    <w:rsid w:val="1052705F"/>
    <w:rsid w:val="1058575D"/>
    <w:rsid w:val="108F21DC"/>
    <w:rsid w:val="10F40586"/>
    <w:rsid w:val="111A452B"/>
    <w:rsid w:val="11695ACE"/>
    <w:rsid w:val="11E91B87"/>
    <w:rsid w:val="11F158CD"/>
    <w:rsid w:val="11FE5A1C"/>
    <w:rsid w:val="120D6544"/>
    <w:rsid w:val="122E53C6"/>
    <w:rsid w:val="12523D7E"/>
    <w:rsid w:val="12617FA0"/>
    <w:rsid w:val="1269775D"/>
    <w:rsid w:val="127B65D2"/>
    <w:rsid w:val="12944624"/>
    <w:rsid w:val="12BE3D9A"/>
    <w:rsid w:val="12CE5B9B"/>
    <w:rsid w:val="12D86841"/>
    <w:rsid w:val="12E62A76"/>
    <w:rsid w:val="12E869AF"/>
    <w:rsid w:val="12F80D77"/>
    <w:rsid w:val="12FC0F94"/>
    <w:rsid w:val="132930B6"/>
    <w:rsid w:val="13305D9F"/>
    <w:rsid w:val="134B09D9"/>
    <w:rsid w:val="13736807"/>
    <w:rsid w:val="13926100"/>
    <w:rsid w:val="13A17A4E"/>
    <w:rsid w:val="13CB3CA2"/>
    <w:rsid w:val="14187B24"/>
    <w:rsid w:val="14225689"/>
    <w:rsid w:val="142842A9"/>
    <w:rsid w:val="14315D45"/>
    <w:rsid w:val="14645E92"/>
    <w:rsid w:val="147B63E4"/>
    <w:rsid w:val="14817169"/>
    <w:rsid w:val="14A75BCB"/>
    <w:rsid w:val="14D11D27"/>
    <w:rsid w:val="14DF069D"/>
    <w:rsid w:val="15316503"/>
    <w:rsid w:val="15344285"/>
    <w:rsid w:val="15363639"/>
    <w:rsid w:val="15385214"/>
    <w:rsid w:val="15441F62"/>
    <w:rsid w:val="1545591D"/>
    <w:rsid w:val="154A0874"/>
    <w:rsid w:val="155A6C39"/>
    <w:rsid w:val="156D65BB"/>
    <w:rsid w:val="157918C1"/>
    <w:rsid w:val="15AA1295"/>
    <w:rsid w:val="15AF0100"/>
    <w:rsid w:val="15C71345"/>
    <w:rsid w:val="15DF5C0D"/>
    <w:rsid w:val="15EB4543"/>
    <w:rsid w:val="15F86D3F"/>
    <w:rsid w:val="160A1A30"/>
    <w:rsid w:val="160C3F20"/>
    <w:rsid w:val="16143BA5"/>
    <w:rsid w:val="162A5C57"/>
    <w:rsid w:val="165463FC"/>
    <w:rsid w:val="167C1503"/>
    <w:rsid w:val="16806D54"/>
    <w:rsid w:val="16823D64"/>
    <w:rsid w:val="168D23F9"/>
    <w:rsid w:val="16BE7B01"/>
    <w:rsid w:val="17187212"/>
    <w:rsid w:val="171F1B01"/>
    <w:rsid w:val="172F0556"/>
    <w:rsid w:val="173764CD"/>
    <w:rsid w:val="17420CEE"/>
    <w:rsid w:val="175536D9"/>
    <w:rsid w:val="177C3932"/>
    <w:rsid w:val="17983544"/>
    <w:rsid w:val="17A15BD7"/>
    <w:rsid w:val="17CB7231"/>
    <w:rsid w:val="17ED330C"/>
    <w:rsid w:val="18012AF8"/>
    <w:rsid w:val="181C6D89"/>
    <w:rsid w:val="18335C69"/>
    <w:rsid w:val="18625CDE"/>
    <w:rsid w:val="188F5B71"/>
    <w:rsid w:val="18C32987"/>
    <w:rsid w:val="18D45D0E"/>
    <w:rsid w:val="18DC112D"/>
    <w:rsid w:val="18DD46BF"/>
    <w:rsid w:val="18E26677"/>
    <w:rsid w:val="18EA04E6"/>
    <w:rsid w:val="19090C6F"/>
    <w:rsid w:val="19097FC9"/>
    <w:rsid w:val="191A38FF"/>
    <w:rsid w:val="195C758D"/>
    <w:rsid w:val="1973218A"/>
    <w:rsid w:val="19836B8A"/>
    <w:rsid w:val="19854457"/>
    <w:rsid w:val="19873F13"/>
    <w:rsid w:val="1989457B"/>
    <w:rsid w:val="19A23FB2"/>
    <w:rsid w:val="19AE1FA3"/>
    <w:rsid w:val="19B542AC"/>
    <w:rsid w:val="19C73734"/>
    <w:rsid w:val="1A02380E"/>
    <w:rsid w:val="1A1547D0"/>
    <w:rsid w:val="1A166B57"/>
    <w:rsid w:val="1A185ED8"/>
    <w:rsid w:val="1A3E1034"/>
    <w:rsid w:val="1A555A9E"/>
    <w:rsid w:val="1A824676"/>
    <w:rsid w:val="1A93129C"/>
    <w:rsid w:val="1AB20300"/>
    <w:rsid w:val="1ABC4F96"/>
    <w:rsid w:val="1AE8285B"/>
    <w:rsid w:val="1B063427"/>
    <w:rsid w:val="1B0F7E07"/>
    <w:rsid w:val="1B2550D6"/>
    <w:rsid w:val="1B26261C"/>
    <w:rsid w:val="1B43571D"/>
    <w:rsid w:val="1B4B5E47"/>
    <w:rsid w:val="1B7D78FE"/>
    <w:rsid w:val="1B8F37D5"/>
    <w:rsid w:val="1B91399F"/>
    <w:rsid w:val="1BAD3439"/>
    <w:rsid w:val="1BB67BF1"/>
    <w:rsid w:val="1BBC07D4"/>
    <w:rsid w:val="1BD02713"/>
    <w:rsid w:val="1BD74E92"/>
    <w:rsid w:val="1BE005C2"/>
    <w:rsid w:val="1BE461ED"/>
    <w:rsid w:val="1BF912E0"/>
    <w:rsid w:val="1C286D67"/>
    <w:rsid w:val="1C585B85"/>
    <w:rsid w:val="1C5E564F"/>
    <w:rsid w:val="1C6532AF"/>
    <w:rsid w:val="1CB63FDE"/>
    <w:rsid w:val="1CD51AC2"/>
    <w:rsid w:val="1D1230C3"/>
    <w:rsid w:val="1D47725A"/>
    <w:rsid w:val="1D5C0D70"/>
    <w:rsid w:val="1D5E6BF2"/>
    <w:rsid w:val="1D7F0972"/>
    <w:rsid w:val="1DBB6A88"/>
    <w:rsid w:val="1DDB2F59"/>
    <w:rsid w:val="1DDE3205"/>
    <w:rsid w:val="1DF1141A"/>
    <w:rsid w:val="1E16629B"/>
    <w:rsid w:val="1E1E41D0"/>
    <w:rsid w:val="1E2567EB"/>
    <w:rsid w:val="1E332B44"/>
    <w:rsid w:val="1E3C3CDF"/>
    <w:rsid w:val="1E3C4CA8"/>
    <w:rsid w:val="1EC06330"/>
    <w:rsid w:val="1ED505AD"/>
    <w:rsid w:val="1ED90BFA"/>
    <w:rsid w:val="1EF514FE"/>
    <w:rsid w:val="1F006038"/>
    <w:rsid w:val="1F3512FC"/>
    <w:rsid w:val="1F465272"/>
    <w:rsid w:val="1F643F30"/>
    <w:rsid w:val="1F665456"/>
    <w:rsid w:val="1F890A27"/>
    <w:rsid w:val="1FAB4A7D"/>
    <w:rsid w:val="1FBF0689"/>
    <w:rsid w:val="1FCB41FE"/>
    <w:rsid w:val="201D1C2A"/>
    <w:rsid w:val="202D158F"/>
    <w:rsid w:val="203130EC"/>
    <w:rsid w:val="20662642"/>
    <w:rsid w:val="208F4996"/>
    <w:rsid w:val="20920EA6"/>
    <w:rsid w:val="20B0339A"/>
    <w:rsid w:val="20D0283E"/>
    <w:rsid w:val="20D81A27"/>
    <w:rsid w:val="20EC7D9E"/>
    <w:rsid w:val="20F25438"/>
    <w:rsid w:val="21126519"/>
    <w:rsid w:val="21355E33"/>
    <w:rsid w:val="21455241"/>
    <w:rsid w:val="218B2A12"/>
    <w:rsid w:val="218B6DCA"/>
    <w:rsid w:val="2195119C"/>
    <w:rsid w:val="21A80138"/>
    <w:rsid w:val="21E6331E"/>
    <w:rsid w:val="224B3A56"/>
    <w:rsid w:val="22756FE2"/>
    <w:rsid w:val="2282368A"/>
    <w:rsid w:val="228342EB"/>
    <w:rsid w:val="229A5166"/>
    <w:rsid w:val="22B23F75"/>
    <w:rsid w:val="22C90962"/>
    <w:rsid w:val="22D14DD6"/>
    <w:rsid w:val="23252E5D"/>
    <w:rsid w:val="232B0FD4"/>
    <w:rsid w:val="232D5C78"/>
    <w:rsid w:val="23621446"/>
    <w:rsid w:val="237B5337"/>
    <w:rsid w:val="238D3F78"/>
    <w:rsid w:val="23B963FE"/>
    <w:rsid w:val="23C2230E"/>
    <w:rsid w:val="23EF306D"/>
    <w:rsid w:val="240122F8"/>
    <w:rsid w:val="240911B8"/>
    <w:rsid w:val="240B3DDD"/>
    <w:rsid w:val="24431A44"/>
    <w:rsid w:val="246C459F"/>
    <w:rsid w:val="2481144B"/>
    <w:rsid w:val="248233BC"/>
    <w:rsid w:val="2492359F"/>
    <w:rsid w:val="24C33D67"/>
    <w:rsid w:val="24DC6C30"/>
    <w:rsid w:val="253275F4"/>
    <w:rsid w:val="25372A63"/>
    <w:rsid w:val="253F334C"/>
    <w:rsid w:val="254B306E"/>
    <w:rsid w:val="25682F03"/>
    <w:rsid w:val="25713499"/>
    <w:rsid w:val="25886C4C"/>
    <w:rsid w:val="259449D9"/>
    <w:rsid w:val="25946626"/>
    <w:rsid w:val="25F17C92"/>
    <w:rsid w:val="260320F3"/>
    <w:rsid w:val="265B0393"/>
    <w:rsid w:val="267A0F55"/>
    <w:rsid w:val="26923B1B"/>
    <w:rsid w:val="269A0AAF"/>
    <w:rsid w:val="269E02FC"/>
    <w:rsid w:val="26DB3441"/>
    <w:rsid w:val="27033445"/>
    <w:rsid w:val="27083590"/>
    <w:rsid w:val="27174C12"/>
    <w:rsid w:val="272C1280"/>
    <w:rsid w:val="275052B4"/>
    <w:rsid w:val="2755335E"/>
    <w:rsid w:val="275F7147"/>
    <w:rsid w:val="27996019"/>
    <w:rsid w:val="27AE0122"/>
    <w:rsid w:val="27BA098F"/>
    <w:rsid w:val="28053A00"/>
    <w:rsid w:val="2815064B"/>
    <w:rsid w:val="2862002A"/>
    <w:rsid w:val="28747F03"/>
    <w:rsid w:val="287F5667"/>
    <w:rsid w:val="288117A0"/>
    <w:rsid w:val="2889111F"/>
    <w:rsid w:val="288B14CF"/>
    <w:rsid w:val="28AC088F"/>
    <w:rsid w:val="28DF4889"/>
    <w:rsid w:val="28EA1DE9"/>
    <w:rsid w:val="29007484"/>
    <w:rsid w:val="293A4B7C"/>
    <w:rsid w:val="293B1341"/>
    <w:rsid w:val="29591071"/>
    <w:rsid w:val="29913D85"/>
    <w:rsid w:val="299D12A5"/>
    <w:rsid w:val="29C45C87"/>
    <w:rsid w:val="29D21C94"/>
    <w:rsid w:val="29F70355"/>
    <w:rsid w:val="29F86E84"/>
    <w:rsid w:val="2A442E1A"/>
    <w:rsid w:val="2A594AF4"/>
    <w:rsid w:val="2A6E5B34"/>
    <w:rsid w:val="2AC20ACE"/>
    <w:rsid w:val="2AD2114E"/>
    <w:rsid w:val="2B1E04B9"/>
    <w:rsid w:val="2B387D45"/>
    <w:rsid w:val="2B3D1E69"/>
    <w:rsid w:val="2B734825"/>
    <w:rsid w:val="2B953BC3"/>
    <w:rsid w:val="2BA3379C"/>
    <w:rsid w:val="2BD22AEF"/>
    <w:rsid w:val="2BE20EEC"/>
    <w:rsid w:val="2BE32112"/>
    <w:rsid w:val="2BFA05F6"/>
    <w:rsid w:val="2C041B94"/>
    <w:rsid w:val="2C1F2ECD"/>
    <w:rsid w:val="2C4334AE"/>
    <w:rsid w:val="2C54009A"/>
    <w:rsid w:val="2C6139F7"/>
    <w:rsid w:val="2C6A3E1A"/>
    <w:rsid w:val="2C723622"/>
    <w:rsid w:val="2C997413"/>
    <w:rsid w:val="2C9F0CC6"/>
    <w:rsid w:val="2CCE37E4"/>
    <w:rsid w:val="2CD365AC"/>
    <w:rsid w:val="2CEB274C"/>
    <w:rsid w:val="2CFF4A9D"/>
    <w:rsid w:val="2D137F3C"/>
    <w:rsid w:val="2D1D24A3"/>
    <w:rsid w:val="2D2947FB"/>
    <w:rsid w:val="2D445702"/>
    <w:rsid w:val="2D522593"/>
    <w:rsid w:val="2D7F50D4"/>
    <w:rsid w:val="2DDE7C0E"/>
    <w:rsid w:val="2E1448AB"/>
    <w:rsid w:val="2E3C55FF"/>
    <w:rsid w:val="2E4A2476"/>
    <w:rsid w:val="2E4E1A97"/>
    <w:rsid w:val="2E546F48"/>
    <w:rsid w:val="2E5B5BA5"/>
    <w:rsid w:val="2E5C13ED"/>
    <w:rsid w:val="2E7E75D1"/>
    <w:rsid w:val="2E875557"/>
    <w:rsid w:val="2EBA6080"/>
    <w:rsid w:val="2ECC3F4F"/>
    <w:rsid w:val="2EE00085"/>
    <w:rsid w:val="2EFD3E07"/>
    <w:rsid w:val="2F13565A"/>
    <w:rsid w:val="2F4D08E3"/>
    <w:rsid w:val="2F5823E8"/>
    <w:rsid w:val="2F6B20C6"/>
    <w:rsid w:val="2F6B6C08"/>
    <w:rsid w:val="2FBD4A46"/>
    <w:rsid w:val="2FBE11F2"/>
    <w:rsid w:val="30070647"/>
    <w:rsid w:val="300B6656"/>
    <w:rsid w:val="303F5ECB"/>
    <w:rsid w:val="305C2D1E"/>
    <w:rsid w:val="30837FFC"/>
    <w:rsid w:val="30A44727"/>
    <w:rsid w:val="30A61BB2"/>
    <w:rsid w:val="30AC7ED5"/>
    <w:rsid w:val="30B02B2C"/>
    <w:rsid w:val="30B97965"/>
    <w:rsid w:val="30D16F83"/>
    <w:rsid w:val="30DF478C"/>
    <w:rsid w:val="30EA12FF"/>
    <w:rsid w:val="30F1384A"/>
    <w:rsid w:val="30FE60B9"/>
    <w:rsid w:val="310B4CCF"/>
    <w:rsid w:val="31322AC4"/>
    <w:rsid w:val="31505D57"/>
    <w:rsid w:val="31737916"/>
    <w:rsid w:val="317B72C8"/>
    <w:rsid w:val="317E6C09"/>
    <w:rsid w:val="31846355"/>
    <w:rsid w:val="31876FD0"/>
    <w:rsid w:val="319B4B13"/>
    <w:rsid w:val="31A91C0F"/>
    <w:rsid w:val="323F0A4B"/>
    <w:rsid w:val="324063E7"/>
    <w:rsid w:val="32564515"/>
    <w:rsid w:val="325B4870"/>
    <w:rsid w:val="327A2591"/>
    <w:rsid w:val="327E4868"/>
    <w:rsid w:val="32B864BA"/>
    <w:rsid w:val="32E519C0"/>
    <w:rsid w:val="33050CF4"/>
    <w:rsid w:val="330F5194"/>
    <w:rsid w:val="33150E58"/>
    <w:rsid w:val="333F75A7"/>
    <w:rsid w:val="33783321"/>
    <w:rsid w:val="337B4F0E"/>
    <w:rsid w:val="339220D8"/>
    <w:rsid w:val="33AC3D7A"/>
    <w:rsid w:val="33AF02CB"/>
    <w:rsid w:val="33BE526C"/>
    <w:rsid w:val="33C86173"/>
    <w:rsid w:val="340F3569"/>
    <w:rsid w:val="341F477C"/>
    <w:rsid w:val="342E3C12"/>
    <w:rsid w:val="34624F43"/>
    <w:rsid w:val="34694859"/>
    <w:rsid w:val="34771532"/>
    <w:rsid w:val="347724A4"/>
    <w:rsid w:val="34781352"/>
    <w:rsid w:val="348F5CD0"/>
    <w:rsid w:val="34AD668E"/>
    <w:rsid w:val="34C001CA"/>
    <w:rsid w:val="34C95BB3"/>
    <w:rsid w:val="34D119A6"/>
    <w:rsid w:val="34DE4D92"/>
    <w:rsid w:val="34F16FF8"/>
    <w:rsid w:val="35156628"/>
    <w:rsid w:val="3533140C"/>
    <w:rsid w:val="354A50DE"/>
    <w:rsid w:val="355137CC"/>
    <w:rsid w:val="358B5A7B"/>
    <w:rsid w:val="35AD747B"/>
    <w:rsid w:val="35D017F4"/>
    <w:rsid w:val="35D07A7A"/>
    <w:rsid w:val="35D67A80"/>
    <w:rsid w:val="35EB4DED"/>
    <w:rsid w:val="35F72C9E"/>
    <w:rsid w:val="36142AB9"/>
    <w:rsid w:val="362431C2"/>
    <w:rsid w:val="36316007"/>
    <w:rsid w:val="368B3647"/>
    <w:rsid w:val="36B07446"/>
    <w:rsid w:val="36FA52DB"/>
    <w:rsid w:val="37053C05"/>
    <w:rsid w:val="37167A96"/>
    <w:rsid w:val="372A59A0"/>
    <w:rsid w:val="373E2EC5"/>
    <w:rsid w:val="37411E1F"/>
    <w:rsid w:val="37560DBF"/>
    <w:rsid w:val="375F68E8"/>
    <w:rsid w:val="378F487C"/>
    <w:rsid w:val="37A311B4"/>
    <w:rsid w:val="37CC5140"/>
    <w:rsid w:val="37E675AD"/>
    <w:rsid w:val="381368BB"/>
    <w:rsid w:val="38392A73"/>
    <w:rsid w:val="383A10E3"/>
    <w:rsid w:val="384048D5"/>
    <w:rsid w:val="385F5477"/>
    <w:rsid w:val="386E6797"/>
    <w:rsid w:val="38717F6D"/>
    <w:rsid w:val="38786700"/>
    <w:rsid w:val="387D4C3F"/>
    <w:rsid w:val="388826F6"/>
    <w:rsid w:val="38BD101A"/>
    <w:rsid w:val="38DC5C77"/>
    <w:rsid w:val="38E47496"/>
    <w:rsid w:val="38FC28E8"/>
    <w:rsid w:val="391E41AF"/>
    <w:rsid w:val="3921312E"/>
    <w:rsid w:val="39437ADB"/>
    <w:rsid w:val="39665AAD"/>
    <w:rsid w:val="39666DA7"/>
    <w:rsid w:val="397B45DD"/>
    <w:rsid w:val="39907843"/>
    <w:rsid w:val="399676B4"/>
    <w:rsid w:val="39E463AC"/>
    <w:rsid w:val="39EB21CB"/>
    <w:rsid w:val="3A0737B4"/>
    <w:rsid w:val="3A1065E9"/>
    <w:rsid w:val="3A3F0760"/>
    <w:rsid w:val="3A4A2F95"/>
    <w:rsid w:val="3A61594C"/>
    <w:rsid w:val="3A641F2C"/>
    <w:rsid w:val="3A6C10A3"/>
    <w:rsid w:val="3A7A2880"/>
    <w:rsid w:val="3A7D2AA0"/>
    <w:rsid w:val="3A9A5A3E"/>
    <w:rsid w:val="3AAE314F"/>
    <w:rsid w:val="3AB36220"/>
    <w:rsid w:val="3AC72636"/>
    <w:rsid w:val="3ACE5954"/>
    <w:rsid w:val="3B0C7266"/>
    <w:rsid w:val="3B10765D"/>
    <w:rsid w:val="3B1A4EFC"/>
    <w:rsid w:val="3B242A8A"/>
    <w:rsid w:val="3B3D36F0"/>
    <w:rsid w:val="3B591860"/>
    <w:rsid w:val="3B745F0A"/>
    <w:rsid w:val="3B7549EB"/>
    <w:rsid w:val="3B9608C0"/>
    <w:rsid w:val="3B996A19"/>
    <w:rsid w:val="3BA354BE"/>
    <w:rsid w:val="3BB40F98"/>
    <w:rsid w:val="3BB80949"/>
    <w:rsid w:val="3BBA3B74"/>
    <w:rsid w:val="3BD57CE4"/>
    <w:rsid w:val="3BD6398D"/>
    <w:rsid w:val="3BF65BF9"/>
    <w:rsid w:val="3C09616C"/>
    <w:rsid w:val="3C1C4B14"/>
    <w:rsid w:val="3C610D5A"/>
    <w:rsid w:val="3C6E6AF3"/>
    <w:rsid w:val="3C6E7024"/>
    <w:rsid w:val="3C854A86"/>
    <w:rsid w:val="3C9427DE"/>
    <w:rsid w:val="3CA92A35"/>
    <w:rsid w:val="3CB43B4C"/>
    <w:rsid w:val="3CC8185E"/>
    <w:rsid w:val="3CCC3E0F"/>
    <w:rsid w:val="3CF30269"/>
    <w:rsid w:val="3D072CC1"/>
    <w:rsid w:val="3D286829"/>
    <w:rsid w:val="3D310CAE"/>
    <w:rsid w:val="3D324C89"/>
    <w:rsid w:val="3D345DFE"/>
    <w:rsid w:val="3D484BF7"/>
    <w:rsid w:val="3D867E2E"/>
    <w:rsid w:val="3D941ECD"/>
    <w:rsid w:val="3DA42D2A"/>
    <w:rsid w:val="3DE74CB3"/>
    <w:rsid w:val="3DFE2B60"/>
    <w:rsid w:val="3E2D68FD"/>
    <w:rsid w:val="3E38374E"/>
    <w:rsid w:val="3E526584"/>
    <w:rsid w:val="3E641AEF"/>
    <w:rsid w:val="3E64580C"/>
    <w:rsid w:val="3E771EDD"/>
    <w:rsid w:val="3E893C6B"/>
    <w:rsid w:val="3EAE10D3"/>
    <w:rsid w:val="3EB859E0"/>
    <w:rsid w:val="3EC412B3"/>
    <w:rsid w:val="3ED102FC"/>
    <w:rsid w:val="3EF97646"/>
    <w:rsid w:val="3F2E6A1D"/>
    <w:rsid w:val="3F437090"/>
    <w:rsid w:val="3F4A62FC"/>
    <w:rsid w:val="3F54220C"/>
    <w:rsid w:val="3F8A6F36"/>
    <w:rsid w:val="3FE531AB"/>
    <w:rsid w:val="400E4544"/>
    <w:rsid w:val="4014777E"/>
    <w:rsid w:val="401C0397"/>
    <w:rsid w:val="4046209F"/>
    <w:rsid w:val="406540AE"/>
    <w:rsid w:val="406E586A"/>
    <w:rsid w:val="407A3596"/>
    <w:rsid w:val="408142C1"/>
    <w:rsid w:val="409D3FC5"/>
    <w:rsid w:val="40B50A9D"/>
    <w:rsid w:val="40DD2C97"/>
    <w:rsid w:val="40F97441"/>
    <w:rsid w:val="410F42AD"/>
    <w:rsid w:val="414E11DE"/>
    <w:rsid w:val="415B5B2B"/>
    <w:rsid w:val="417E4D19"/>
    <w:rsid w:val="41855028"/>
    <w:rsid w:val="41B52DCA"/>
    <w:rsid w:val="41C349C4"/>
    <w:rsid w:val="41D26FA6"/>
    <w:rsid w:val="41E0382F"/>
    <w:rsid w:val="41EE61C2"/>
    <w:rsid w:val="4214560D"/>
    <w:rsid w:val="42153A77"/>
    <w:rsid w:val="42665B00"/>
    <w:rsid w:val="42714E6C"/>
    <w:rsid w:val="428D0438"/>
    <w:rsid w:val="428D757D"/>
    <w:rsid w:val="429C2CBB"/>
    <w:rsid w:val="42A116E1"/>
    <w:rsid w:val="42B1710A"/>
    <w:rsid w:val="42B22350"/>
    <w:rsid w:val="42C525CF"/>
    <w:rsid w:val="42F63437"/>
    <w:rsid w:val="42FD0A61"/>
    <w:rsid w:val="430465F6"/>
    <w:rsid w:val="432A484B"/>
    <w:rsid w:val="43324309"/>
    <w:rsid w:val="435A0C30"/>
    <w:rsid w:val="43796B98"/>
    <w:rsid w:val="438C21A5"/>
    <w:rsid w:val="43E35772"/>
    <w:rsid w:val="43E402E3"/>
    <w:rsid w:val="43F544B4"/>
    <w:rsid w:val="442A2CFA"/>
    <w:rsid w:val="4447345C"/>
    <w:rsid w:val="44750EDE"/>
    <w:rsid w:val="448809D9"/>
    <w:rsid w:val="44A94D3C"/>
    <w:rsid w:val="44B209EC"/>
    <w:rsid w:val="44C949A9"/>
    <w:rsid w:val="44DF6D39"/>
    <w:rsid w:val="450D4887"/>
    <w:rsid w:val="45116350"/>
    <w:rsid w:val="45294352"/>
    <w:rsid w:val="45322BDB"/>
    <w:rsid w:val="45517CF8"/>
    <w:rsid w:val="45621389"/>
    <w:rsid w:val="457D38F1"/>
    <w:rsid w:val="459316EA"/>
    <w:rsid w:val="45B44C24"/>
    <w:rsid w:val="45BB0840"/>
    <w:rsid w:val="45C00513"/>
    <w:rsid w:val="45CD3356"/>
    <w:rsid w:val="45DF47BA"/>
    <w:rsid w:val="462C1F2F"/>
    <w:rsid w:val="465E5F59"/>
    <w:rsid w:val="467140CC"/>
    <w:rsid w:val="46895E92"/>
    <w:rsid w:val="469A13C9"/>
    <w:rsid w:val="469C2156"/>
    <w:rsid w:val="46BC2DF4"/>
    <w:rsid w:val="46BE1A26"/>
    <w:rsid w:val="46CD3C43"/>
    <w:rsid w:val="46D772AB"/>
    <w:rsid w:val="473E7ABE"/>
    <w:rsid w:val="474C7946"/>
    <w:rsid w:val="47771ACE"/>
    <w:rsid w:val="47A063D7"/>
    <w:rsid w:val="47E56AFB"/>
    <w:rsid w:val="47E6347C"/>
    <w:rsid w:val="47EE0089"/>
    <w:rsid w:val="48031403"/>
    <w:rsid w:val="481618FC"/>
    <w:rsid w:val="48750652"/>
    <w:rsid w:val="48780279"/>
    <w:rsid w:val="487856E1"/>
    <w:rsid w:val="48990A75"/>
    <w:rsid w:val="48AF26D1"/>
    <w:rsid w:val="48B116AD"/>
    <w:rsid w:val="48C55386"/>
    <w:rsid w:val="48E6080B"/>
    <w:rsid w:val="49110025"/>
    <w:rsid w:val="49300152"/>
    <w:rsid w:val="494E797B"/>
    <w:rsid w:val="49765832"/>
    <w:rsid w:val="49832FFD"/>
    <w:rsid w:val="49893713"/>
    <w:rsid w:val="498A4E42"/>
    <w:rsid w:val="498F3F2B"/>
    <w:rsid w:val="49B12AA1"/>
    <w:rsid w:val="49C71C27"/>
    <w:rsid w:val="49CD2057"/>
    <w:rsid w:val="49D66154"/>
    <w:rsid w:val="49DA05ED"/>
    <w:rsid w:val="49F15374"/>
    <w:rsid w:val="49FB75B1"/>
    <w:rsid w:val="4A2F0DC3"/>
    <w:rsid w:val="4A505D9D"/>
    <w:rsid w:val="4A5F694F"/>
    <w:rsid w:val="4A635A5F"/>
    <w:rsid w:val="4A894250"/>
    <w:rsid w:val="4AAB02E8"/>
    <w:rsid w:val="4ADE1391"/>
    <w:rsid w:val="4B010F06"/>
    <w:rsid w:val="4B01760D"/>
    <w:rsid w:val="4B1767CB"/>
    <w:rsid w:val="4B2B20DA"/>
    <w:rsid w:val="4B335C81"/>
    <w:rsid w:val="4B407FF3"/>
    <w:rsid w:val="4B4E21F4"/>
    <w:rsid w:val="4B560027"/>
    <w:rsid w:val="4B6C40CC"/>
    <w:rsid w:val="4B846A7D"/>
    <w:rsid w:val="4BB96A31"/>
    <w:rsid w:val="4BBF0115"/>
    <w:rsid w:val="4BE8737B"/>
    <w:rsid w:val="4BEF00D3"/>
    <w:rsid w:val="4C0F629E"/>
    <w:rsid w:val="4C197076"/>
    <w:rsid w:val="4C1B7121"/>
    <w:rsid w:val="4C1C0B56"/>
    <w:rsid w:val="4C2D580B"/>
    <w:rsid w:val="4C3876FE"/>
    <w:rsid w:val="4C3E2A0D"/>
    <w:rsid w:val="4C3E6383"/>
    <w:rsid w:val="4C4A57F1"/>
    <w:rsid w:val="4C585BC1"/>
    <w:rsid w:val="4C615A31"/>
    <w:rsid w:val="4C7934CC"/>
    <w:rsid w:val="4C7B707B"/>
    <w:rsid w:val="4C8426A8"/>
    <w:rsid w:val="4C9B7CB1"/>
    <w:rsid w:val="4CA74FB6"/>
    <w:rsid w:val="4CC1479E"/>
    <w:rsid w:val="4CC56FEC"/>
    <w:rsid w:val="4CCC5D87"/>
    <w:rsid w:val="4D070B6D"/>
    <w:rsid w:val="4D0F0F31"/>
    <w:rsid w:val="4D275172"/>
    <w:rsid w:val="4D35671D"/>
    <w:rsid w:val="4D3D414D"/>
    <w:rsid w:val="4D562128"/>
    <w:rsid w:val="4D5932F6"/>
    <w:rsid w:val="4D6208A7"/>
    <w:rsid w:val="4D75609E"/>
    <w:rsid w:val="4DA41C1A"/>
    <w:rsid w:val="4DA96CFC"/>
    <w:rsid w:val="4DBD29DA"/>
    <w:rsid w:val="4DC24FE4"/>
    <w:rsid w:val="4DD379A0"/>
    <w:rsid w:val="4DD51842"/>
    <w:rsid w:val="4E076ABA"/>
    <w:rsid w:val="4E15372E"/>
    <w:rsid w:val="4E2B3868"/>
    <w:rsid w:val="4E30531C"/>
    <w:rsid w:val="4E335C99"/>
    <w:rsid w:val="4E421A27"/>
    <w:rsid w:val="4E4D4B6C"/>
    <w:rsid w:val="4E8B601C"/>
    <w:rsid w:val="4E942CA3"/>
    <w:rsid w:val="4F013674"/>
    <w:rsid w:val="4F0413BB"/>
    <w:rsid w:val="4F070B75"/>
    <w:rsid w:val="4F107CF2"/>
    <w:rsid w:val="4F4F4A1A"/>
    <w:rsid w:val="4F500F3A"/>
    <w:rsid w:val="4F5B2B2E"/>
    <w:rsid w:val="4F676403"/>
    <w:rsid w:val="4F833B40"/>
    <w:rsid w:val="4F852EAD"/>
    <w:rsid w:val="4F906BF1"/>
    <w:rsid w:val="4F917528"/>
    <w:rsid w:val="4FD2256F"/>
    <w:rsid w:val="500D2EA4"/>
    <w:rsid w:val="500E3DA5"/>
    <w:rsid w:val="50123C3C"/>
    <w:rsid w:val="502B23E9"/>
    <w:rsid w:val="50370E9D"/>
    <w:rsid w:val="503F5319"/>
    <w:rsid w:val="504365D7"/>
    <w:rsid w:val="504C5AA1"/>
    <w:rsid w:val="50826BC2"/>
    <w:rsid w:val="50870ADC"/>
    <w:rsid w:val="508A70B6"/>
    <w:rsid w:val="50A5165E"/>
    <w:rsid w:val="50AA42D0"/>
    <w:rsid w:val="50B527A6"/>
    <w:rsid w:val="50BA6DE3"/>
    <w:rsid w:val="50D20647"/>
    <w:rsid w:val="510E462F"/>
    <w:rsid w:val="511048F4"/>
    <w:rsid w:val="51154582"/>
    <w:rsid w:val="512D753B"/>
    <w:rsid w:val="51343985"/>
    <w:rsid w:val="51595BC6"/>
    <w:rsid w:val="51C85EA7"/>
    <w:rsid w:val="51DF20E0"/>
    <w:rsid w:val="520D3A78"/>
    <w:rsid w:val="52351C07"/>
    <w:rsid w:val="524C3594"/>
    <w:rsid w:val="524E0AD2"/>
    <w:rsid w:val="52736250"/>
    <w:rsid w:val="527C6AAC"/>
    <w:rsid w:val="52891960"/>
    <w:rsid w:val="52B42092"/>
    <w:rsid w:val="52B67C45"/>
    <w:rsid w:val="52CB42E0"/>
    <w:rsid w:val="52E262F7"/>
    <w:rsid w:val="52FC1871"/>
    <w:rsid w:val="530E0727"/>
    <w:rsid w:val="53220ACD"/>
    <w:rsid w:val="535B5049"/>
    <w:rsid w:val="53693688"/>
    <w:rsid w:val="537E3E5A"/>
    <w:rsid w:val="53993692"/>
    <w:rsid w:val="53A77C80"/>
    <w:rsid w:val="53A9639A"/>
    <w:rsid w:val="53B31769"/>
    <w:rsid w:val="53D95AA3"/>
    <w:rsid w:val="53DE0B41"/>
    <w:rsid w:val="53E232E2"/>
    <w:rsid w:val="53ED5E66"/>
    <w:rsid w:val="53F878AA"/>
    <w:rsid w:val="53FE106B"/>
    <w:rsid w:val="54022746"/>
    <w:rsid w:val="54267BC4"/>
    <w:rsid w:val="5430406B"/>
    <w:rsid w:val="54320723"/>
    <w:rsid w:val="543B275F"/>
    <w:rsid w:val="544B6F0F"/>
    <w:rsid w:val="54AF426D"/>
    <w:rsid w:val="54B23590"/>
    <w:rsid w:val="54B35FAD"/>
    <w:rsid w:val="54B9024F"/>
    <w:rsid w:val="54BD6486"/>
    <w:rsid w:val="54C355E5"/>
    <w:rsid w:val="54E532D5"/>
    <w:rsid w:val="54E813A7"/>
    <w:rsid w:val="54FC0DA6"/>
    <w:rsid w:val="550337F7"/>
    <w:rsid w:val="55465E63"/>
    <w:rsid w:val="554A67A2"/>
    <w:rsid w:val="55542728"/>
    <w:rsid w:val="5556275E"/>
    <w:rsid w:val="556A0232"/>
    <w:rsid w:val="557221C3"/>
    <w:rsid w:val="557C728B"/>
    <w:rsid w:val="558B0503"/>
    <w:rsid w:val="55A21110"/>
    <w:rsid w:val="55AB346C"/>
    <w:rsid w:val="55C55A68"/>
    <w:rsid w:val="55CF4D46"/>
    <w:rsid w:val="56421D5D"/>
    <w:rsid w:val="565A3738"/>
    <w:rsid w:val="566F051B"/>
    <w:rsid w:val="5683602C"/>
    <w:rsid w:val="568B60A8"/>
    <w:rsid w:val="56924E21"/>
    <w:rsid w:val="56A1696A"/>
    <w:rsid w:val="56AF0B89"/>
    <w:rsid w:val="56C85CB6"/>
    <w:rsid w:val="56DD489F"/>
    <w:rsid w:val="571A4480"/>
    <w:rsid w:val="571F61BF"/>
    <w:rsid w:val="5743213B"/>
    <w:rsid w:val="57447557"/>
    <w:rsid w:val="574707E6"/>
    <w:rsid w:val="578F7D50"/>
    <w:rsid w:val="579768DA"/>
    <w:rsid w:val="579F28FF"/>
    <w:rsid w:val="57BA2B41"/>
    <w:rsid w:val="57E31BF6"/>
    <w:rsid w:val="57EB5478"/>
    <w:rsid w:val="57FD2EBF"/>
    <w:rsid w:val="581C7B01"/>
    <w:rsid w:val="585362E3"/>
    <w:rsid w:val="588A751E"/>
    <w:rsid w:val="588B4D8E"/>
    <w:rsid w:val="588D5292"/>
    <w:rsid w:val="589A574C"/>
    <w:rsid w:val="58B0683E"/>
    <w:rsid w:val="58D503D0"/>
    <w:rsid w:val="58DE1B0E"/>
    <w:rsid w:val="58DE7708"/>
    <w:rsid w:val="59005739"/>
    <w:rsid w:val="59035983"/>
    <w:rsid w:val="59222F1D"/>
    <w:rsid w:val="59506E78"/>
    <w:rsid w:val="59B35E9F"/>
    <w:rsid w:val="59B6009B"/>
    <w:rsid w:val="59D165B5"/>
    <w:rsid w:val="59DA308F"/>
    <w:rsid w:val="59EE0290"/>
    <w:rsid w:val="59EF5F24"/>
    <w:rsid w:val="5A102669"/>
    <w:rsid w:val="5A3F3F76"/>
    <w:rsid w:val="5A4945F1"/>
    <w:rsid w:val="5A621E09"/>
    <w:rsid w:val="5A760CA7"/>
    <w:rsid w:val="5A7B2C30"/>
    <w:rsid w:val="5A7C0D79"/>
    <w:rsid w:val="5A81167B"/>
    <w:rsid w:val="5A9B5223"/>
    <w:rsid w:val="5ABD40E7"/>
    <w:rsid w:val="5AD6037A"/>
    <w:rsid w:val="5B187DA1"/>
    <w:rsid w:val="5B1A65BB"/>
    <w:rsid w:val="5B1B64C1"/>
    <w:rsid w:val="5B1C1604"/>
    <w:rsid w:val="5B5A547D"/>
    <w:rsid w:val="5B6C2D6A"/>
    <w:rsid w:val="5B835DD3"/>
    <w:rsid w:val="5B861F5F"/>
    <w:rsid w:val="5B9A5116"/>
    <w:rsid w:val="5B9B1578"/>
    <w:rsid w:val="5B9B6CEF"/>
    <w:rsid w:val="5BA82B22"/>
    <w:rsid w:val="5BAF466A"/>
    <w:rsid w:val="5BDE4E0C"/>
    <w:rsid w:val="5C0E561C"/>
    <w:rsid w:val="5C11524D"/>
    <w:rsid w:val="5C2078CF"/>
    <w:rsid w:val="5C2E7BAE"/>
    <w:rsid w:val="5C4C1C20"/>
    <w:rsid w:val="5C6017E3"/>
    <w:rsid w:val="5C6151FD"/>
    <w:rsid w:val="5C82214C"/>
    <w:rsid w:val="5C852757"/>
    <w:rsid w:val="5CA92EA6"/>
    <w:rsid w:val="5CB035D6"/>
    <w:rsid w:val="5CD37BA9"/>
    <w:rsid w:val="5CDE0525"/>
    <w:rsid w:val="5CF46577"/>
    <w:rsid w:val="5D054C97"/>
    <w:rsid w:val="5D1F6942"/>
    <w:rsid w:val="5D4026A6"/>
    <w:rsid w:val="5D441C14"/>
    <w:rsid w:val="5D4478B5"/>
    <w:rsid w:val="5D886514"/>
    <w:rsid w:val="5D8C4E63"/>
    <w:rsid w:val="5DA35F70"/>
    <w:rsid w:val="5DA96D76"/>
    <w:rsid w:val="5DC60A8E"/>
    <w:rsid w:val="5DC8094B"/>
    <w:rsid w:val="5DD00708"/>
    <w:rsid w:val="5DD36318"/>
    <w:rsid w:val="5E107A70"/>
    <w:rsid w:val="5E1C5AD0"/>
    <w:rsid w:val="5E1C7324"/>
    <w:rsid w:val="5E563AD9"/>
    <w:rsid w:val="5EBC17F7"/>
    <w:rsid w:val="5ED73664"/>
    <w:rsid w:val="5ED96FDB"/>
    <w:rsid w:val="5F1C6071"/>
    <w:rsid w:val="5F4663FD"/>
    <w:rsid w:val="5F53709C"/>
    <w:rsid w:val="5F752C54"/>
    <w:rsid w:val="5F845367"/>
    <w:rsid w:val="5F9C5700"/>
    <w:rsid w:val="5FA75838"/>
    <w:rsid w:val="5FBC5E5B"/>
    <w:rsid w:val="60047442"/>
    <w:rsid w:val="601947ED"/>
    <w:rsid w:val="602F51F4"/>
    <w:rsid w:val="60335A4B"/>
    <w:rsid w:val="60366786"/>
    <w:rsid w:val="603B68A9"/>
    <w:rsid w:val="60606B2C"/>
    <w:rsid w:val="60610573"/>
    <w:rsid w:val="6086744D"/>
    <w:rsid w:val="60A13412"/>
    <w:rsid w:val="60D749B3"/>
    <w:rsid w:val="60DA56D7"/>
    <w:rsid w:val="60DD4B60"/>
    <w:rsid w:val="60E54344"/>
    <w:rsid w:val="60FF1700"/>
    <w:rsid w:val="610D4416"/>
    <w:rsid w:val="610D4B31"/>
    <w:rsid w:val="6122547D"/>
    <w:rsid w:val="614000C8"/>
    <w:rsid w:val="61410101"/>
    <w:rsid w:val="618F0218"/>
    <w:rsid w:val="6192706E"/>
    <w:rsid w:val="61A6174D"/>
    <w:rsid w:val="61D47DD4"/>
    <w:rsid w:val="61E73E45"/>
    <w:rsid w:val="61F162EC"/>
    <w:rsid w:val="62102297"/>
    <w:rsid w:val="621E253F"/>
    <w:rsid w:val="62340F3A"/>
    <w:rsid w:val="623F5E6E"/>
    <w:rsid w:val="62670AA8"/>
    <w:rsid w:val="6283699E"/>
    <w:rsid w:val="62903489"/>
    <w:rsid w:val="629E76D6"/>
    <w:rsid w:val="62AD13BA"/>
    <w:rsid w:val="62B2714A"/>
    <w:rsid w:val="62D66224"/>
    <w:rsid w:val="62DB0B02"/>
    <w:rsid w:val="62EA7139"/>
    <w:rsid w:val="62F21AEC"/>
    <w:rsid w:val="630614A2"/>
    <w:rsid w:val="632B2A88"/>
    <w:rsid w:val="63307281"/>
    <w:rsid w:val="63341DF8"/>
    <w:rsid w:val="63521F12"/>
    <w:rsid w:val="63522AE1"/>
    <w:rsid w:val="637D5717"/>
    <w:rsid w:val="63D32777"/>
    <w:rsid w:val="63E11D40"/>
    <w:rsid w:val="63EA7915"/>
    <w:rsid w:val="63F243C3"/>
    <w:rsid w:val="64104320"/>
    <w:rsid w:val="641510C0"/>
    <w:rsid w:val="641927CC"/>
    <w:rsid w:val="642369BB"/>
    <w:rsid w:val="64300607"/>
    <w:rsid w:val="6431403B"/>
    <w:rsid w:val="643336E5"/>
    <w:rsid w:val="643D6D37"/>
    <w:rsid w:val="64552E1F"/>
    <w:rsid w:val="645F6DB1"/>
    <w:rsid w:val="648D27CD"/>
    <w:rsid w:val="649E5267"/>
    <w:rsid w:val="64CD5D16"/>
    <w:rsid w:val="64ED528E"/>
    <w:rsid w:val="64F03B1E"/>
    <w:rsid w:val="65033DA1"/>
    <w:rsid w:val="653F14E1"/>
    <w:rsid w:val="654C55BB"/>
    <w:rsid w:val="658149BE"/>
    <w:rsid w:val="65B5009E"/>
    <w:rsid w:val="65E65FD4"/>
    <w:rsid w:val="65F07496"/>
    <w:rsid w:val="660D0DE9"/>
    <w:rsid w:val="66323B5A"/>
    <w:rsid w:val="663F4732"/>
    <w:rsid w:val="664C7BB5"/>
    <w:rsid w:val="66583564"/>
    <w:rsid w:val="667F1CF6"/>
    <w:rsid w:val="669B472C"/>
    <w:rsid w:val="66A03439"/>
    <w:rsid w:val="66A97412"/>
    <w:rsid w:val="66C73F17"/>
    <w:rsid w:val="671D0014"/>
    <w:rsid w:val="67293CFB"/>
    <w:rsid w:val="67425A5D"/>
    <w:rsid w:val="676438B5"/>
    <w:rsid w:val="677A4F12"/>
    <w:rsid w:val="677E0F00"/>
    <w:rsid w:val="67811506"/>
    <w:rsid w:val="67AD72EA"/>
    <w:rsid w:val="67B11AD2"/>
    <w:rsid w:val="67C93B6D"/>
    <w:rsid w:val="67DC4EEA"/>
    <w:rsid w:val="67E54770"/>
    <w:rsid w:val="67EE3F35"/>
    <w:rsid w:val="67F722CD"/>
    <w:rsid w:val="67F93199"/>
    <w:rsid w:val="67FB16ED"/>
    <w:rsid w:val="68065826"/>
    <w:rsid w:val="6819336C"/>
    <w:rsid w:val="6821141D"/>
    <w:rsid w:val="685C701A"/>
    <w:rsid w:val="68684C3F"/>
    <w:rsid w:val="687C70D1"/>
    <w:rsid w:val="688536B6"/>
    <w:rsid w:val="68975717"/>
    <w:rsid w:val="68B247C0"/>
    <w:rsid w:val="68C0504A"/>
    <w:rsid w:val="68C672EB"/>
    <w:rsid w:val="68D66C1B"/>
    <w:rsid w:val="68DA3856"/>
    <w:rsid w:val="68F36F87"/>
    <w:rsid w:val="68F96BBC"/>
    <w:rsid w:val="69082D78"/>
    <w:rsid w:val="691049D5"/>
    <w:rsid w:val="69206D1F"/>
    <w:rsid w:val="69516CA4"/>
    <w:rsid w:val="69552FF1"/>
    <w:rsid w:val="69B5112F"/>
    <w:rsid w:val="69CC22B5"/>
    <w:rsid w:val="69CF5C7E"/>
    <w:rsid w:val="69FB5885"/>
    <w:rsid w:val="69FD1154"/>
    <w:rsid w:val="6A001BE4"/>
    <w:rsid w:val="6A024CB2"/>
    <w:rsid w:val="6A54265F"/>
    <w:rsid w:val="6A5627E8"/>
    <w:rsid w:val="6A7171B2"/>
    <w:rsid w:val="6A742950"/>
    <w:rsid w:val="6A9A4A52"/>
    <w:rsid w:val="6A9E393B"/>
    <w:rsid w:val="6A9F66D3"/>
    <w:rsid w:val="6AB867F5"/>
    <w:rsid w:val="6ABE7A98"/>
    <w:rsid w:val="6AE04BE1"/>
    <w:rsid w:val="6AE71DBA"/>
    <w:rsid w:val="6AE87715"/>
    <w:rsid w:val="6AFD5874"/>
    <w:rsid w:val="6B3B5FD4"/>
    <w:rsid w:val="6B444885"/>
    <w:rsid w:val="6B8F4ABF"/>
    <w:rsid w:val="6BA27AEF"/>
    <w:rsid w:val="6BAE74BF"/>
    <w:rsid w:val="6BAF36CC"/>
    <w:rsid w:val="6BC67CFA"/>
    <w:rsid w:val="6BCA6FA0"/>
    <w:rsid w:val="6BCD591C"/>
    <w:rsid w:val="6C172215"/>
    <w:rsid w:val="6C5E123B"/>
    <w:rsid w:val="6C790AC1"/>
    <w:rsid w:val="6C961141"/>
    <w:rsid w:val="6CAA779C"/>
    <w:rsid w:val="6CAD478A"/>
    <w:rsid w:val="6CB42FE0"/>
    <w:rsid w:val="6CBE35D5"/>
    <w:rsid w:val="6CD44C39"/>
    <w:rsid w:val="6CD73519"/>
    <w:rsid w:val="6CD8644F"/>
    <w:rsid w:val="6CDA5436"/>
    <w:rsid w:val="6CFB6ACC"/>
    <w:rsid w:val="6D0441E1"/>
    <w:rsid w:val="6D2A2B33"/>
    <w:rsid w:val="6D446231"/>
    <w:rsid w:val="6D6C3069"/>
    <w:rsid w:val="6D6F7B3C"/>
    <w:rsid w:val="6D7F7E13"/>
    <w:rsid w:val="6D933A8F"/>
    <w:rsid w:val="6DC86536"/>
    <w:rsid w:val="6DCC3FB5"/>
    <w:rsid w:val="6DEE75F2"/>
    <w:rsid w:val="6DF928E0"/>
    <w:rsid w:val="6E0123A3"/>
    <w:rsid w:val="6E1864F2"/>
    <w:rsid w:val="6E505D24"/>
    <w:rsid w:val="6EB3027E"/>
    <w:rsid w:val="6EDA0BC5"/>
    <w:rsid w:val="6EFA72B0"/>
    <w:rsid w:val="6F06331E"/>
    <w:rsid w:val="6F2530DC"/>
    <w:rsid w:val="6F3C706B"/>
    <w:rsid w:val="6F3D14B6"/>
    <w:rsid w:val="6F41402C"/>
    <w:rsid w:val="6FB62E2F"/>
    <w:rsid w:val="6FE2276A"/>
    <w:rsid w:val="6FE45D71"/>
    <w:rsid w:val="6FF445CB"/>
    <w:rsid w:val="6FF90358"/>
    <w:rsid w:val="700D1045"/>
    <w:rsid w:val="702C4B9F"/>
    <w:rsid w:val="705F1862"/>
    <w:rsid w:val="70686FCC"/>
    <w:rsid w:val="70695142"/>
    <w:rsid w:val="706B5CE9"/>
    <w:rsid w:val="707C3677"/>
    <w:rsid w:val="707F3D08"/>
    <w:rsid w:val="70811351"/>
    <w:rsid w:val="70B23BA2"/>
    <w:rsid w:val="70C67096"/>
    <w:rsid w:val="712C25CE"/>
    <w:rsid w:val="713D3991"/>
    <w:rsid w:val="71454B64"/>
    <w:rsid w:val="71477779"/>
    <w:rsid w:val="715037FE"/>
    <w:rsid w:val="71583DCA"/>
    <w:rsid w:val="716A0E2C"/>
    <w:rsid w:val="718940F5"/>
    <w:rsid w:val="719F2C4F"/>
    <w:rsid w:val="71B464B7"/>
    <w:rsid w:val="71EB62F0"/>
    <w:rsid w:val="71F147E6"/>
    <w:rsid w:val="72065B5E"/>
    <w:rsid w:val="72191370"/>
    <w:rsid w:val="722279DF"/>
    <w:rsid w:val="72290EE7"/>
    <w:rsid w:val="72370BD6"/>
    <w:rsid w:val="72722A9D"/>
    <w:rsid w:val="729B47C1"/>
    <w:rsid w:val="72A46CCC"/>
    <w:rsid w:val="72A54570"/>
    <w:rsid w:val="72FF6D64"/>
    <w:rsid w:val="73002C8E"/>
    <w:rsid w:val="731C1B59"/>
    <w:rsid w:val="73396DC3"/>
    <w:rsid w:val="734631DE"/>
    <w:rsid w:val="734D04CE"/>
    <w:rsid w:val="736A43B3"/>
    <w:rsid w:val="7372222A"/>
    <w:rsid w:val="7397741A"/>
    <w:rsid w:val="739D3A04"/>
    <w:rsid w:val="73B927D0"/>
    <w:rsid w:val="73BB5BAA"/>
    <w:rsid w:val="73C22C7B"/>
    <w:rsid w:val="73DD126B"/>
    <w:rsid w:val="73FF76B4"/>
    <w:rsid w:val="74224C66"/>
    <w:rsid w:val="74225A36"/>
    <w:rsid w:val="742914CE"/>
    <w:rsid w:val="74296CB1"/>
    <w:rsid w:val="74345B5E"/>
    <w:rsid w:val="744F2156"/>
    <w:rsid w:val="74701FD2"/>
    <w:rsid w:val="7474770C"/>
    <w:rsid w:val="74763143"/>
    <w:rsid w:val="747A629D"/>
    <w:rsid w:val="7487764C"/>
    <w:rsid w:val="74992626"/>
    <w:rsid w:val="74C63CA0"/>
    <w:rsid w:val="74C74117"/>
    <w:rsid w:val="74D85BFB"/>
    <w:rsid w:val="751039BE"/>
    <w:rsid w:val="75174DB5"/>
    <w:rsid w:val="75182AB1"/>
    <w:rsid w:val="752065C0"/>
    <w:rsid w:val="75395571"/>
    <w:rsid w:val="7546732C"/>
    <w:rsid w:val="75540E9B"/>
    <w:rsid w:val="75563E4B"/>
    <w:rsid w:val="75862AE5"/>
    <w:rsid w:val="75A156BD"/>
    <w:rsid w:val="75AA406D"/>
    <w:rsid w:val="75C55EEC"/>
    <w:rsid w:val="75D71A93"/>
    <w:rsid w:val="75DF1B65"/>
    <w:rsid w:val="75E066EA"/>
    <w:rsid w:val="75F1682B"/>
    <w:rsid w:val="760276B8"/>
    <w:rsid w:val="761601EC"/>
    <w:rsid w:val="76251043"/>
    <w:rsid w:val="763638EE"/>
    <w:rsid w:val="764347FA"/>
    <w:rsid w:val="76624F18"/>
    <w:rsid w:val="766857BB"/>
    <w:rsid w:val="766B225B"/>
    <w:rsid w:val="76713BE2"/>
    <w:rsid w:val="76751B5F"/>
    <w:rsid w:val="7693077E"/>
    <w:rsid w:val="7693675C"/>
    <w:rsid w:val="76CD467B"/>
    <w:rsid w:val="7708184E"/>
    <w:rsid w:val="770F324B"/>
    <w:rsid w:val="770F576F"/>
    <w:rsid w:val="772D6994"/>
    <w:rsid w:val="773A4338"/>
    <w:rsid w:val="7780347B"/>
    <w:rsid w:val="77B333BE"/>
    <w:rsid w:val="77C269F3"/>
    <w:rsid w:val="77EF1DBF"/>
    <w:rsid w:val="781E5E16"/>
    <w:rsid w:val="78272459"/>
    <w:rsid w:val="784A0F1A"/>
    <w:rsid w:val="785978BE"/>
    <w:rsid w:val="78653A27"/>
    <w:rsid w:val="78893B07"/>
    <w:rsid w:val="789702FA"/>
    <w:rsid w:val="789F4835"/>
    <w:rsid w:val="78A62091"/>
    <w:rsid w:val="78B013CF"/>
    <w:rsid w:val="78DD7857"/>
    <w:rsid w:val="790B2BA4"/>
    <w:rsid w:val="791C17EA"/>
    <w:rsid w:val="79233D75"/>
    <w:rsid w:val="79256755"/>
    <w:rsid w:val="792750F3"/>
    <w:rsid w:val="792D12F5"/>
    <w:rsid w:val="79306283"/>
    <w:rsid w:val="79357D98"/>
    <w:rsid w:val="79497479"/>
    <w:rsid w:val="79521776"/>
    <w:rsid w:val="798E6759"/>
    <w:rsid w:val="79A40506"/>
    <w:rsid w:val="79AB4694"/>
    <w:rsid w:val="79BD24B7"/>
    <w:rsid w:val="79C32EDD"/>
    <w:rsid w:val="79EF4314"/>
    <w:rsid w:val="7A0E4B10"/>
    <w:rsid w:val="7A1B09D4"/>
    <w:rsid w:val="7A4172F8"/>
    <w:rsid w:val="7A7C4499"/>
    <w:rsid w:val="7A8369B9"/>
    <w:rsid w:val="7A86660F"/>
    <w:rsid w:val="7A9F1AC7"/>
    <w:rsid w:val="7ACD59F4"/>
    <w:rsid w:val="7AEB15AA"/>
    <w:rsid w:val="7AFC79D9"/>
    <w:rsid w:val="7B0501DA"/>
    <w:rsid w:val="7B1047E4"/>
    <w:rsid w:val="7B4876FA"/>
    <w:rsid w:val="7B7660E0"/>
    <w:rsid w:val="7B835692"/>
    <w:rsid w:val="7B8C225A"/>
    <w:rsid w:val="7BCA7030"/>
    <w:rsid w:val="7BFE2EBB"/>
    <w:rsid w:val="7C0C0EB7"/>
    <w:rsid w:val="7C19261D"/>
    <w:rsid w:val="7C1B4E05"/>
    <w:rsid w:val="7C1C65B3"/>
    <w:rsid w:val="7C44542E"/>
    <w:rsid w:val="7C7106ED"/>
    <w:rsid w:val="7C9B2A97"/>
    <w:rsid w:val="7CCF5ED9"/>
    <w:rsid w:val="7CD17926"/>
    <w:rsid w:val="7CF02CB1"/>
    <w:rsid w:val="7CFF40BB"/>
    <w:rsid w:val="7D437F77"/>
    <w:rsid w:val="7D532B9E"/>
    <w:rsid w:val="7D562CA4"/>
    <w:rsid w:val="7D670C01"/>
    <w:rsid w:val="7D832313"/>
    <w:rsid w:val="7DA722C8"/>
    <w:rsid w:val="7DB8751F"/>
    <w:rsid w:val="7DE86FC2"/>
    <w:rsid w:val="7E1E674E"/>
    <w:rsid w:val="7E244F3A"/>
    <w:rsid w:val="7E26341A"/>
    <w:rsid w:val="7E68031B"/>
    <w:rsid w:val="7E7C1B6E"/>
    <w:rsid w:val="7E8358A6"/>
    <w:rsid w:val="7E957CD5"/>
    <w:rsid w:val="7E9B323B"/>
    <w:rsid w:val="7F004F8E"/>
    <w:rsid w:val="7F027EA8"/>
    <w:rsid w:val="7F1F4DA0"/>
    <w:rsid w:val="7F3C668C"/>
    <w:rsid w:val="7F3E3628"/>
    <w:rsid w:val="7F49678B"/>
    <w:rsid w:val="7F816DEA"/>
    <w:rsid w:val="7FCB55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8"/>
    <w:qFormat/>
    <w:uiPriority w:val="9"/>
    <w:pPr>
      <w:keepNext/>
      <w:keepLines/>
      <w:spacing w:before="156" w:beforeLines="50" w:after="156" w:afterLines="50" w:line="600" w:lineRule="exact"/>
      <w:jc w:val="center"/>
      <w:outlineLvl w:val="0"/>
    </w:pPr>
    <w:rPr>
      <w:rFonts w:ascii="Times New Roman" w:hAnsi="Times New Roman" w:eastAsia="黑体" w:cs="Times New Roman"/>
      <w:bCs/>
      <w:color w:val="000000" w:themeColor="text1"/>
      <w:kern w:val="44"/>
      <w:sz w:val="32"/>
      <w:szCs w:val="44"/>
      <w14:textFill>
        <w14:solidFill>
          <w14:schemeClr w14:val="tx1"/>
        </w14:solidFill>
      </w14:textFill>
    </w:rPr>
  </w:style>
  <w:style w:type="paragraph" w:styleId="3">
    <w:name w:val="heading 2"/>
    <w:basedOn w:val="1"/>
    <w:next w:val="1"/>
    <w:link w:val="19"/>
    <w:unhideWhenUsed/>
    <w:qFormat/>
    <w:uiPriority w:val="9"/>
    <w:pPr>
      <w:spacing w:before="156" w:beforeLines="50" w:line="600" w:lineRule="exact"/>
      <w:jc w:val="center"/>
      <w:outlineLvl w:val="1"/>
    </w:pPr>
    <w:rPr>
      <w:rFonts w:ascii="Times New Roman" w:hAnsi="Times New Roman" w:eastAsia="楷体_GB2312" w:cs="Times New Roman"/>
      <w:b/>
      <w:color w:val="000000" w:themeColor="text1"/>
      <w:sz w:val="32"/>
      <w:szCs w:val="20"/>
      <w14:textFill>
        <w14:solidFill>
          <w14:schemeClr w14:val="tx1"/>
        </w14:solidFill>
      </w14:textFill>
    </w:rPr>
  </w:style>
  <w:style w:type="paragraph" w:styleId="4">
    <w:name w:val="heading 3"/>
    <w:basedOn w:val="1"/>
    <w:next w:val="1"/>
    <w:link w:val="20"/>
    <w:unhideWhenUsed/>
    <w:qFormat/>
    <w:uiPriority w:val="9"/>
    <w:pPr>
      <w:keepNext/>
      <w:keepLines/>
      <w:spacing w:before="260" w:after="260" w:line="416" w:lineRule="auto"/>
      <w:outlineLvl w:val="2"/>
    </w:pPr>
    <w:rPr>
      <w:b/>
      <w:bCs/>
      <w:sz w:val="32"/>
      <w:szCs w:val="32"/>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5">
    <w:name w:val="Normal Indent"/>
    <w:basedOn w:val="1"/>
    <w:qFormat/>
    <w:uiPriority w:val="0"/>
    <w:pPr>
      <w:ind w:firstLine="556"/>
    </w:pPr>
    <w:rPr>
      <w:rFonts w:ascii="Times New Roman" w:hAnsi="Times New Roman"/>
      <w:sz w:val="28"/>
      <w:szCs w:val="20"/>
    </w:rPr>
  </w:style>
  <w:style w:type="paragraph" w:styleId="6">
    <w:name w:val="toc 3"/>
    <w:basedOn w:val="1"/>
    <w:next w:val="1"/>
    <w:unhideWhenUsed/>
    <w:qFormat/>
    <w:uiPriority w:val="39"/>
    <w:pPr>
      <w:ind w:left="840" w:leftChars="400"/>
    </w:pPr>
  </w:style>
  <w:style w:type="paragraph" w:styleId="7">
    <w:name w:val="Date"/>
    <w:basedOn w:val="1"/>
    <w:next w:val="1"/>
    <w:link w:val="29"/>
    <w:semiHidden/>
    <w:unhideWhenUsed/>
    <w:uiPriority w:val="99"/>
    <w:pPr>
      <w:ind w:left="100" w:leftChars="2500"/>
    </w:pPr>
  </w:style>
  <w:style w:type="paragraph" w:styleId="8">
    <w:name w:val="Balloon Text"/>
    <w:basedOn w:val="1"/>
    <w:link w:val="30"/>
    <w:semiHidden/>
    <w:unhideWhenUsed/>
    <w:uiPriority w:val="99"/>
    <w:rPr>
      <w:sz w:val="18"/>
      <w:szCs w:val="18"/>
    </w:rPr>
  </w:style>
  <w:style w:type="paragraph" w:styleId="9">
    <w:name w:val="footer"/>
    <w:basedOn w:val="1"/>
    <w:link w:val="22"/>
    <w:unhideWhenUsed/>
    <w:qFormat/>
    <w:uiPriority w:val="0"/>
    <w:pPr>
      <w:tabs>
        <w:tab w:val="center" w:pos="4153"/>
        <w:tab w:val="right" w:pos="8306"/>
      </w:tabs>
      <w:snapToGrid w:val="0"/>
      <w:jc w:val="left"/>
    </w:pPr>
    <w:rPr>
      <w:sz w:val="18"/>
      <w:szCs w:val="18"/>
    </w:rPr>
  </w:style>
  <w:style w:type="paragraph" w:styleId="10">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style>
  <w:style w:type="paragraph" w:styleId="12">
    <w:name w:val="toc 2"/>
    <w:basedOn w:val="1"/>
    <w:next w:val="1"/>
    <w:unhideWhenUsed/>
    <w:qFormat/>
    <w:uiPriority w:val="39"/>
    <w:pPr>
      <w:ind w:left="420" w:leftChars="200"/>
    </w:p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page number"/>
    <w:basedOn w:val="15"/>
    <w:unhideWhenUsed/>
    <w:qFormat/>
    <w:uiPriority w:val="99"/>
  </w:style>
  <w:style w:type="character" w:styleId="17">
    <w:name w:val="Hyperlink"/>
    <w:basedOn w:val="15"/>
    <w:qFormat/>
    <w:uiPriority w:val="99"/>
    <w:rPr>
      <w:color w:val="0000FF"/>
      <w:u w:val="single"/>
    </w:rPr>
  </w:style>
  <w:style w:type="character" w:customStyle="1" w:styleId="18">
    <w:name w:val="标题 1 Char"/>
    <w:basedOn w:val="15"/>
    <w:link w:val="2"/>
    <w:qFormat/>
    <w:uiPriority w:val="9"/>
    <w:rPr>
      <w:rFonts w:eastAsia="黑体"/>
      <w:bCs/>
      <w:color w:val="000000" w:themeColor="text1"/>
      <w:kern w:val="44"/>
      <w:sz w:val="32"/>
      <w:szCs w:val="44"/>
      <w14:textFill>
        <w14:solidFill>
          <w14:schemeClr w14:val="tx1"/>
        </w14:solidFill>
      </w14:textFill>
    </w:rPr>
  </w:style>
  <w:style w:type="character" w:customStyle="1" w:styleId="19">
    <w:name w:val="标题 2 Char"/>
    <w:basedOn w:val="15"/>
    <w:link w:val="3"/>
    <w:qFormat/>
    <w:uiPriority w:val="9"/>
    <w:rPr>
      <w:rFonts w:eastAsia="楷体_GB2312"/>
      <w:b/>
      <w:color w:val="000000" w:themeColor="text1"/>
      <w:kern w:val="2"/>
      <w:sz w:val="32"/>
      <w14:textFill>
        <w14:solidFill>
          <w14:schemeClr w14:val="tx1"/>
        </w14:solidFill>
      </w14:textFill>
    </w:rPr>
  </w:style>
  <w:style w:type="character" w:customStyle="1" w:styleId="20">
    <w:name w:val="标题 3 Char"/>
    <w:basedOn w:val="15"/>
    <w:link w:val="4"/>
    <w:qFormat/>
    <w:uiPriority w:val="9"/>
    <w:rPr>
      <w:b/>
      <w:bCs/>
      <w:sz w:val="32"/>
      <w:szCs w:val="32"/>
    </w:rPr>
  </w:style>
  <w:style w:type="character" w:customStyle="1" w:styleId="21">
    <w:name w:val="页眉 Char"/>
    <w:basedOn w:val="15"/>
    <w:link w:val="10"/>
    <w:qFormat/>
    <w:uiPriority w:val="99"/>
    <w:rPr>
      <w:sz w:val="18"/>
      <w:szCs w:val="18"/>
    </w:rPr>
  </w:style>
  <w:style w:type="character" w:customStyle="1" w:styleId="22">
    <w:name w:val="页脚 Char"/>
    <w:basedOn w:val="15"/>
    <w:link w:val="9"/>
    <w:qFormat/>
    <w:uiPriority w:val="0"/>
    <w:rPr>
      <w:sz w:val="18"/>
      <w:szCs w:val="18"/>
    </w:rPr>
  </w:style>
  <w:style w:type="paragraph" w:styleId="23">
    <w:name w:val="List Paragraph"/>
    <w:basedOn w:val="1"/>
    <w:qFormat/>
    <w:uiPriority w:val="99"/>
    <w:pPr>
      <w:ind w:firstLine="420" w:firstLineChars="200"/>
    </w:pPr>
  </w:style>
  <w:style w:type="paragraph" w:customStyle="1" w:styleId="24">
    <w:name w:val="Char Char Char Char Char Char Char"/>
    <w:basedOn w:val="1"/>
    <w:qFormat/>
    <w:uiPriority w:val="0"/>
    <w:rPr>
      <w:rFonts w:ascii="Calibri" w:hAnsi="Calibri" w:eastAsia="仿宋_GB2312" w:cs="Times New Roman"/>
      <w:sz w:val="32"/>
      <w:szCs w:val="32"/>
    </w:rPr>
  </w:style>
  <w:style w:type="character" w:customStyle="1" w:styleId="25">
    <w:name w:val="font21"/>
    <w:basedOn w:val="15"/>
    <w:qFormat/>
    <w:uiPriority w:val="0"/>
    <w:rPr>
      <w:rFonts w:hint="default" w:ascii="Times New Roman" w:hAnsi="Times New Roman" w:cs="Times New Roman"/>
      <w:color w:val="000000"/>
      <w:sz w:val="22"/>
      <w:szCs w:val="22"/>
      <w:u w:val="none"/>
    </w:rPr>
  </w:style>
  <w:style w:type="character" w:customStyle="1" w:styleId="26">
    <w:name w:val="font01"/>
    <w:basedOn w:val="15"/>
    <w:qFormat/>
    <w:uiPriority w:val="0"/>
    <w:rPr>
      <w:rFonts w:hint="eastAsia" w:ascii="宋体" w:hAnsi="宋体" w:eastAsia="宋体" w:cs="宋体"/>
      <w:color w:val="000000"/>
      <w:sz w:val="22"/>
      <w:szCs w:val="22"/>
      <w:u w:val="none"/>
    </w:rPr>
  </w:style>
  <w:style w:type="table" w:customStyle="1" w:styleId="27">
    <w:name w:val="网格型1"/>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8">
    <w:name w:val="Body Text Indent 21"/>
    <w:basedOn w:val="1"/>
    <w:next w:val="1"/>
    <w:qFormat/>
    <w:uiPriority w:val="0"/>
    <w:pPr>
      <w:spacing w:line="590" w:lineRule="exact"/>
      <w:ind w:firstLine="880"/>
    </w:pPr>
    <w:rPr>
      <w:szCs w:val="24"/>
    </w:rPr>
  </w:style>
  <w:style w:type="character" w:customStyle="1" w:styleId="29">
    <w:name w:val="日期 Char"/>
    <w:basedOn w:val="15"/>
    <w:link w:val="7"/>
    <w:semiHidden/>
    <w:uiPriority w:val="99"/>
    <w:rPr>
      <w:rFonts w:asciiTheme="minorHAnsi" w:hAnsiTheme="minorHAnsi" w:eastAsiaTheme="minorEastAsia" w:cstheme="minorBidi"/>
      <w:kern w:val="2"/>
      <w:sz w:val="21"/>
      <w:szCs w:val="22"/>
    </w:rPr>
  </w:style>
  <w:style w:type="character" w:customStyle="1" w:styleId="30">
    <w:name w:val="批注框文本 Char"/>
    <w:basedOn w:val="15"/>
    <w:link w:val="8"/>
    <w:semiHidden/>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7951EB-95C1-49D5-BFD1-BA14FCD20CD2}">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47</Pages>
  <Words>23167</Words>
  <Characters>23519</Characters>
  <Lines>192</Lines>
  <Paragraphs>54</Paragraphs>
  <TotalTime>176</TotalTime>
  <ScaleCrop>false</ScaleCrop>
  <LinksUpToDate>false</LinksUpToDate>
  <CharactersWithSpaces>23593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2022-03-02T04:13:00Z</dcterms:created>
  <dc:creator>悦 姚</dc:creator>
  <cp:lastModifiedBy>徐葵</cp:lastModifiedBy>
  <cp:lastPrinted>2022-03-08T03:23:00Z</cp:lastPrinted>
  <dcterms:modified xsi:type="dcterms:W3CDTF">2025-12-26T06:59:04Z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F2624A28C3964D15AC1FDF8B137D4122</vt:lpwstr>
  </property>
  <property fmtid="{D5CDD505-2E9C-101B-9397-08002B2CF9AE}" pid="4" name="KSOTemplateDocerSaveRecord">
    <vt:lpwstr>eyJoZGlkIjoiMDBmOWJkMzdmMzdmNzU4ODFkNmUzNDczZWI0NWZkMmIiLCJ1c2VySWQiOiI1Mjg2MzIzODYifQ==</vt:lpwstr>
  </property>
</Properties>
</file>