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C3F0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铜陵市义安区人民政府办公室</w:t>
      </w:r>
    </w:p>
    <w:p w14:paraId="3FDC2B8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关于印发2022年度铜陵市义安区人民政府</w:t>
      </w:r>
    </w:p>
    <w:p w14:paraId="545336E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常务会议学法计划的通知</w:t>
      </w:r>
    </w:p>
    <w:p w14:paraId="13AEA0E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办〔</w:t>
      </w:r>
      <w:r>
        <w:rPr>
          <w:rFonts w:hint="default" w:ascii="Times New Roman" w:hAnsi="Times New Roman" w:eastAsia="方正楷体_GBK" w:cs="Times New Roman"/>
          <w:sz w:val="32"/>
          <w:szCs w:val="32"/>
        </w:rPr>
        <w:t>2022</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13</w:t>
      </w:r>
      <w:r>
        <w:rPr>
          <w:rFonts w:hint="eastAsia" w:ascii="方正仿宋_GBK" w:hAnsi="方正仿宋_GBK" w:eastAsia="方正仿宋_GBK" w:cs="方正仿宋_GBK"/>
          <w:sz w:val="32"/>
          <w:szCs w:val="32"/>
        </w:rPr>
        <w:t>号</w:t>
      </w:r>
    </w:p>
    <w:p w14:paraId="5E2CD13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p>
    <w:p w14:paraId="22A3ECD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各乡镇人民政府、新桥办事处，区政府各部门，各有关单位：</w:t>
      </w:r>
    </w:p>
    <w:p w14:paraId="20DB2F8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 现将《</w:t>
      </w:r>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年度铜陵市义安区人民政府常务会议学法计划》印发给你们，请认真遵照执行。</w:t>
      </w:r>
    </w:p>
    <w:p w14:paraId="201204D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 一、区政府办公室、区司法局负责组织实施区政府常务会议学法活动，可结合常务会议重点议题适时安排。同时，结合区政府全年重点工作，适当调增学法内容。</w:t>
      </w:r>
    </w:p>
    <w:p w14:paraId="53331D2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 二、主讲部门要精心准备学法材料，重点突出，条理清晰，原则上由专家或部门主要负责人讲解。学法材料及解读材料，需提前送区司法局审核。</w:t>
      </w:r>
    </w:p>
    <w:p w14:paraId="434E15F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 三、各单位要结合实际，参照本计划制定本单位领导干部年度学法活动安排。</w:t>
      </w:r>
    </w:p>
    <w:p w14:paraId="00AF2F5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 附件：</w:t>
      </w:r>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年度铜陵市义安区人民政府常务会议学法计划安排表</w:t>
      </w:r>
    </w:p>
    <w:p w14:paraId="7EF968D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p>
    <w:p w14:paraId="79C7229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铜陵市义安区人民政府办公室                             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w:t>
      </w:r>
      <w:r>
        <w:rPr>
          <w:rFonts w:hint="default" w:ascii="Times New Roman" w:hAnsi="Times New Roman" w:eastAsia="方正仿宋_GBK" w:cs="Times New Roman"/>
          <w:sz w:val="32"/>
          <w:szCs w:val="32"/>
        </w:rPr>
        <w:t> 2022</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4</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18</w:t>
      </w:r>
      <w:r>
        <w:rPr>
          <w:rFonts w:hint="eastAsia" w:ascii="方正仿宋_GBK" w:hAnsi="方正仿宋_GBK" w:eastAsia="方正仿宋_GBK" w:cs="方正仿宋_GBK"/>
          <w:sz w:val="32"/>
          <w:szCs w:val="32"/>
        </w:rPr>
        <w:t>日        </w:t>
      </w:r>
    </w:p>
    <w:p w14:paraId="17E33C6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黑体_GBK" w:hAnsi="方正黑体_GBK" w:eastAsia="方正黑体_GBK" w:cs="方正黑体_GBK"/>
        </w:rPr>
      </w:pPr>
      <w:r>
        <w:rPr>
          <w:rFonts w:hint="eastAsia" w:ascii="方正黑体_GBK" w:hAnsi="方正黑体_GBK" w:eastAsia="方正黑体_GBK" w:cs="方正黑体_GBK"/>
          <w:sz w:val="32"/>
          <w:szCs w:val="32"/>
        </w:rPr>
        <w:t>附件</w:t>
      </w:r>
    </w:p>
    <w:p w14:paraId="4A714A9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w:t>
      </w:r>
    </w:p>
    <w:p w14:paraId="39DC8AA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w:t>
      </w:r>
      <w:r>
        <w:rPr>
          <w:rFonts w:hint="default" w:ascii="Times New Roman" w:hAnsi="Times New Roman" w:eastAsia="方正小标宋_GBK" w:cs="Times New Roman"/>
          <w:sz w:val="44"/>
          <w:szCs w:val="44"/>
        </w:rPr>
        <w:t>2022</w:t>
      </w:r>
      <w:r>
        <w:rPr>
          <w:rFonts w:hint="eastAsia" w:ascii="方正小标宋_GBK" w:hAnsi="方正小标宋_GBK" w:eastAsia="方正小标宋_GBK" w:cs="方正小标宋_GBK"/>
          <w:sz w:val="44"/>
          <w:szCs w:val="44"/>
        </w:rPr>
        <w:t>年度铜陵市义安区人民政府常务会议</w:t>
      </w:r>
    </w:p>
    <w:p w14:paraId="33F15BE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           学法计划安排表</w:t>
      </w:r>
    </w:p>
    <w:p w14:paraId="78DFBEF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t> </w:t>
      </w:r>
    </w:p>
    <w:tbl>
      <w:tblPr>
        <w:tblStyle w:val="3"/>
        <w:tblW w:w="0" w:type="auto"/>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574"/>
        <w:gridCol w:w="5164"/>
        <w:gridCol w:w="2549"/>
        <w:gridCol w:w="617"/>
      </w:tblGrid>
      <w:tr w14:paraId="6C0C4B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585" w:type="dxa"/>
            <w:shd w:val="clear" w:color="auto" w:fill="auto"/>
            <w:vAlign w:val="center"/>
          </w:tcPr>
          <w:p w14:paraId="279766B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bookmarkStart w:id="0" w:name="_GoBack"/>
            <w:r>
              <w:rPr>
                <w:rFonts w:hint="eastAsia" w:ascii="方正仿宋_GBK" w:hAnsi="方正仿宋_GBK" w:eastAsia="方正仿宋_GBK" w:cs="方正仿宋_GBK"/>
                <w:sz w:val="32"/>
                <w:szCs w:val="32"/>
              </w:rPr>
              <w:t>类别</w:t>
            </w:r>
          </w:p>
        </w:tc>
        <w:tc>
          <w:tcPr>
            <w:tcW w:w="5400" w:type="dxa"/>
            <w:shd w:val="clear" w:color="auto" w:fill="auto"/>
            <w:vAlign w:val="center"/>
          </w:tcPr>
          <w:p w14:paraId="1B859B8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  目</w:t>
            </w:r>
          </w:p>
        </w:tc>
        <w:tc>
          <w:tcPr>
            <w:tcW w:w="2670" w:type="dxa"/>
            <w:shd w:val="clear" w:color="auto" w:fill="auto"/>
            <w:vAlign w:val="center"/>
          </w:tcPr>
          <w:p w14:paraId="187E30D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责任单位</w:t>
            </w:r>
          </w:p>
        </w:tc>
        <w:tc>
          <w:tcPr>
            <w:tcW w:w="630" w:type="dxa"/>
            <w:shd w:val="clear" w:color="auto" w:fill="auto"/>
            <w:vAlign w:val="center"/>
          </w:tcPr>
          <w:p w14:paraId="250689A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备注</w:t>
            </w:r>
          </w:p>
        </w:tc>
      </w:tr>
      <w:tr w14:paraId="5BA389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585" w:type="dxa"/>
            <w:vMerge w:val="restart"/>
            <w:shd w:val="clear" w:color="auto" w:fill="auto"/>
            <w:vAlign w:val="center"/>
          </w:tcPr>
          <w:p w14:paraId="63530FF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专题</w:t>
            </w:r>
          </w:p>
          <w:p w14:paraId="0F0DB61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学法</w:t>
            </w:r>
          </w:p>
        </w:tc>
        <w:tc>
          <w:tcPr>
            <w:tcW w:w="5400" w:type="dxa"/>
            <w:shd w:val="clear" w:color="auto" w:fill="auto"/>
            <w:vAlign w:val="center"/>
          </w:tcPr>
          <w:p w14:paraId="134424E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《习近平法治思想学习纲要》</w:t>
            </w:r>
          </w:p>
        </w:tc>
        <w:tc>
          <w:tcPr>
            <w:tcW w:w="2670" w:type="dxa"/>
            <w:shd w:val="clear" w:color="auto" w:fill="auto"/>
            <w:vAlign w:val="center"/>
          </w:tcPr>
          <w:p w14:paraId="7A065A3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区委依法治区办</w:t>
            </w:r>
          </w:p>
        </w:tc>
        <w:tc>
          <w:tcPr>
            <w:tcW w:w="630" w:type="dxa"/>
            <w:shd w:val="clear" w:color="auto" w:fill="auto"/>
            <w:vAlign w:val="center"/>
          </w:tcPr>
          <w:p w14:paraId="7CA3C78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tc>
      </w:tr>
      <w:tr w14:paraId="702D42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569A05A0">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050E572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《中华人民共和国家庭教育促进法》</w:t>
            </w:r>
          </w:p>
        </w:tc>
        <w:tc>
          <w:tcPr>
            <w:tcW w:w="2670" w:type="dxa"/>
            <w:shd w:val="clear" w:color="auto" w:fill="auto"/>
            <w:vAlign w:val="center"/>
          </w:tcPr>
          <w:p w14:paraId="5282BE0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区教体局</w:t>
            </w:r>
          </w:p>
        </w:tc>
        <w:tc>
          <w:tcPr>
            <w:tcW w:w="630" w:type="dxa"/>
            <w:shd w:val="clear" w:color="auto" w:fill="auto"/>
            <w:vAlign w:val="center"/>
          </w:tcPr>
          <w:p w14:paraId="628D6E0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tc>
      </w:tr>
      <w:tr w14:paraId="4E5944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112689EE">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60310D0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《中华人民共和国审计法》</w:t>
            </w:r>
          </w:p>
        </w:tc>
        <w:tc>
          <w:tcPr>
            <w:tcW w:w="2670" w:type="dxa"/>
            <w:shd w:val="clear" w:color="auto" w:fill="auto"/>
            <w:vAlign w:val="center"/>
          </w:tcPr>
          <w:p w14:paraId="7EFE9B4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区审计局</w:t>
            </w:r>
          </w:p>
        </w:tc>
        <w:tc>
          <w:tcPr>
            <w:tcW w:w="630" w:type="dxa"/>
            <w:shd w:val="clear" w:color="auto" w:fill="auto"/>
            <w:vAlign w:val="center"/>
          </w:tcPr>
          <w:p w14:paraId="028619A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tc>
      </w:tr>
      <w:tr w14:paraId="09CF9B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56BD1C46">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406763A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《中华人民共和国乡村振兴促进法》</w:t>
            </w:r>
          </w:p>
        </w:tc>
        <w:tc>
          <w:tcPr>
            <w:tcW w:w="2670" w:type="dxa"/>
            <w:shd w:val="clear" w:color="auto" w:fill="auto"/>
            <w:vAlign w:val="center"/>
          </w:tcPr>
          <w:p w14:paraId="622608A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区农业农村局</w:t>
            </w:r>
          </w:p>
        </w:tc>
        <w:tc>
          <w:tcPr>
            <w:tcW w:w="630" w:type="dxa"/>
            <w:shd w:val="clear" w:color="auto" w:fill="auto"/>
            <w:vAlign w:val="center"/>
          </w:tcPr>
          <w:p w14:paraId="0027CF0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tc>
      </w:tr>
      <w:tr w14:paraId="35A0CE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73BEB4A2">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41A85E9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《中华人民共和国数据安全法》</w:t>
            </w:r>
          </w:p>
        </w:tc>
        <w:tc>
          <w:tcPr>
            <w:tcW w:w="2670" w:type="dxa"/>
            <w:shd w:val="clear" w:color="auto" w:fill="auto"/>
            <w:vAlign w:val="center"/>
          </w:tcPr>
          <w:p w14:paraId="6BFF97E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区数据资源局</w:t>
            </w:r>
          </w:p>
        </w:tc>
        <w:tc>
          <w:tcPr>
            <w:tcW w:w="630" w:type="dxa"/>
            <w:shd w:val="clear" w:color="auto" w:fill="auto"/>
            <w:vAlign w:val="center"/>
          </w:tcPr>
          <w:p w14:paraId="3E15C78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tc>
      </w:tr>
      <w:tr w14:paraId="6CC919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09D0C4D2">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0E16A4C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《信访工作条例》</w:t>
            </w:r>
          </w:p>
        </w:tc>
        <w:tc>
          <w:tcPr>
            <w:tcW w:w="2670" w:type="dxa"/>
            <w:shd w:val="clear" w:color="auto" w:fill="auto"/>
            <w:vAlign w:val="center"/>
          </w:tcPr>
          <w:p w14:paraId="33FDAB2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区信访局</w:t>
            </w:r>
          </w:p>
        </w:tc>
        <w:tc>
          <w:tcPr>
            <w:tcW w:w="630" w:type="dxa"/>
            <w:shd w:val="clear" w:color="auto" w:fill="auto"/>
            <w:vAlign w:val="center"/>
          </w:tcPr>
          <w:p w14:paraId="5513096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p>
        </w:tc>
      </w:tr>
      <w:tr w14:paraId="291543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restart"/>
            <w:shd w:val="clear" w:color="auto" w:fill="auto"/>
            <w:vAlign w:val="center"/>
          </w:tcPr>
          <w:p w14:paraId="734E970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会前学法</w:t>
            </w:r>
          </w:p>
          <w:p w14:paraId="37EA805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p>
          <w:p w14:paraId="4364B6D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法条解读</w:t>
            </w:r>
          </w:p>
        </w:tc>
        <w:tc>
          <w:tcPr>
            <w:tcW w:w="5400" w:type="dxa"/>
            <w:shd w:val="clear" w:color="auto" w:fill="auto"/>
            <w:vAlign w:val="center"/>
          </w:tcPr>
          <w:p w14:paraId="713458D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《中华人民共和国反有组织犯罪法》</w:t>
            </w:r>
          </w:p>
        </w:tc>
        <w:tc>
          <w:tcPr>
            <w:tcW w:w="2670" w:type="dxa"/>
            <w:shd w:val="clear" w:color="auto" w:fill="auto"/>
            <w:vAlign w:val="center"/>
          </w:tcPr>
          <w:p w14:paraId="694A220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区委政法委</w:t>
            </w:r>
          </w:p>
        </w:tc>
        <w:tc>
          <w:tcPr>
            <w:tcW w:w="630" w:type="dxa"/>
            <w:vMerge w:val="restart"/>
            <w:shd w:val="clear" w:color="auto" w:fill="auto"/>
            <w:vAlign w:val="center"/>
          </w:tcPr>
          <w:p w14:paraId="3D0E682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根据常务会议议题选定</w:t>
            </w:r>
          </w:p>
        </w:tc>
      </w:tr>
      <w:tr w14:paraId="506C3A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21EC7CCE">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430C4E9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《中华人民共和国未成年人保护法》</w:t>
            </w:r>
          </w:p>
        </w:tc>
        <w:tc>
          <w:tcPr>
            <w:tcW w:w="2670" w:type="dxa"/>
            <w:shd w:val="clear" w:color="auto" w:fill="auto"/>
            <w:vAlign w:val="center"/>
          </w:tcPr>
          <w:p w14:paraId="54B512F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团区委</w:t>
            </w:r>
          </w:p>
        </w:tc>
        <w:tc>
          <w:tcPr>
            <w:tcW w:w="630" w:type="dxa"/>
            <w:vMerge w:val="continue"/>
            <w:shd w:val="clear" w:color="auto" w:fill="auto"/>
            <w:vAlign w:val="center"/>
          </w:tcPr>
          <w:p w14:paraId="5D666635">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755766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3C2D4C3A">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643EC2A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《中华人民共和国市场主体登记管理条例》</w:t>
            </w:r>
          </w:p>
        </w:tc>
        <w:tc>
          <w:tcPr>
            <w:tcW w:w="2670" w:type="dxa"/>
            <w:shd w:val="clear" w:color="auto" w:fill="auto"/>
            <w:vAlign w:val="center"/>
          </w:tcPr>
          <w:p w14:paraId="395CDD3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区市场监督管理局</w:t>
            </w:r>
          </w:p>
        </w:tc>
        <w:tc>
          <w:tcPr>
            <w:tcW w:w="630" w:type="dxa"/>
            <w:vMerge w:val="continue"/>
            <w:shd w:val="clear" w:color="auto" w:fill="auto"/>
            <w:vAlign w:val="center"/>
          </w:tcPr>
          <w:p w14:paraId="69FBC8FB">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6DFEE5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5B80BF33">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446F5DA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《中华人民共和国科学技术进步法》</w:t>
            </w:r>
          </w:p>
        </w:tc>
        <w:tc>
          <w:tcPr>
            <w:tcW w:w="2670" w:type="dxa"/>
            <w:shd w:val="clear" w:color="auto" w:fill="auto"/>
            <w:vAlign w:val="center"/>
          </w:tcPr>
          <w:p w14:paraId="130DDA5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区科技局</w:t>
            </w:r>
          </w:p>
        </w:tc>
        <w:tc>
          <w:tcPr>
            <w:tcW w:w="630" w:type="dxa"/>
            <w:vMerge w:val="continue"/>
            <w:shd w:val="clear" w:color="auto" w:fill="auto"/>
            <w:vAlign w:val="center"/>
          </w:tcPr>
          <w:p w14:paraId="214E8C09">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5F4054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285FD1EA">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1487159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《中华人民共和国食品安全法》</w:t>
            </w:r>
          </w:p>
        </w:tc>
        <w:tc>
          <w:tcPr>
            <w:tcW w:w="2670" w:type="dxa"/>
            <w:shd w:val="clear" w:color="auto" w:fill="auto"/>
            <w:vAlign w:val="center"/>
          </w:tcPr>
          <w:p w14:paraId="350FF20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区市场监督管理局</w:t>
            </w:r>
          </w:p>
        </w:tc>
        <w:tc>
          <w:tcPr>
            <w:tcW w:w="630" w:type="dxa"/>
            <w:vMerge w:val="continue"/>
            <w:shd w:val="clear" w:color="auto" w:fill="auto"/>
            <w:vAlign w:val="center"/>
          </w:tcPr>
          <w:p w14:paraId="4C852839">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05C877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726D88E3">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74A519B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《中华人民共和国噪声污染防治法》</w:t>
            </w:r>
          </w:p>
        </w:tc>
        <w:tc>
          <w:tcPr>
            <w:tcW w:w="2670" w:type="dxa"/>
            <w:shd w:val="clear" w:color="auto" w:fill="auto"/>
            <w:vAlign w:val="center"/>
          </w:tcPr>
          <w:p w14:paraId="402E815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区生态环境分局</w:t>
            </w:r>
          </w:p>
        </w:tc>
        <w:tc>
          <w:tcPr>
            <w:tcW w:w="630" w:type="dxa"/>
            <w:vMerge w:val="continue"/>
            <w:shd w:val="clear" w:color="auto" w:fill="auto"/>
            <w:vAlign w:val="center"/>
          </w:tcPr>
          <w:p w14:paraId="754C032A">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11742F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4103914F">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730C44C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《中华人民共和国工会法》</w:t>
            </w:r>
          </w:p>
        </w:tc>
        <w:tc>
          <w:tcPr>
            <w:tcW w:w="2670" w:type="dxa"/>
            <w:shd w:val="clear" w:color="auto" w:fill="auto"/>
            <w:vAlign w:val="center"/>
          </w:tcPr>
          <w:p w14:paraId="0985517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区总工会</w:t>
            </w:r>
          </w:p>
        </w:tc>
        <w:tc>
          <w:tcPr>
            <w:tcW w:w="630" w:type="dxa"/>
            <w:vMerge w:val="continue"/>
            <w:shd w:val="clear" w:color="auto" w:fill="auto"/>
            <w:vAlign w:val="center"/>
          </w:tcPr>
          <w:p w14:paraId="0A3C920E">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35561A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7E89F515">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116F2FE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《安徽省人口与计划生育条例》</w:t>
            </w:r>
          </w:p>
        </w:tc>
        <w:tc>
          <w:tcPr>
            <w:tcW w:w="2670" w:type="dxa"/>
            <w:shd w:val="clear" w:color="auto" w:fill="auto"/>
            <w:vAlign w:val="center"/>
          </w:tcPr>
          <w:p w14:paraId="0B5143B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区卫健委</w:t>
            </w:r>
          </w:p>
        </w:tc>
        <w:tc>
          <w:tcPr>
            <w:tcW w:w="630" w:type="dxa"/>
            <w:vMerge w:val="continue"/>
            <w:shd w:val="clear" w:color="auto" w:fill="auto"/>
            <w:vAlign w:val="center"/>
          </w:tcPr>
          <w:p w14:paraId="69C80CBB">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19BCF0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5FBCA6F7">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4629392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《安徽省人民代表大会常务委员会关于促进和保障长江流域禁捕工作若干问题的决定》</w:t>
            </w:r>
          </w:p>
        </w:tc>
        <w:tc>
          <w:tcPr>
            <w:tcW w:w="2670" w:type="dxa"/>
            <w:shd w:val="clear" w:color="auto" w:fill="auto"/>
            <w:vAlign w:val="center"/>
          </w:tcPr>
          <w:p w14:paraId="3F338FB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区农业农村局</w:t>
            </w:r>
          </w:p>
        </w:tc>
        <w:tc>
          <w:tcPr>
            <w:tcW w:w="630" w:type="dxa"/>
            <w:vMerge w:val="continue"/>
            <w:shd w:val="clear" w:color="auto" w:fill="auto"/>
            <w:vAlign w:val="center"/>
          </w:tcPr>
          <w:p w14:paraId="65DE22CD">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3461D6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4E89796F">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4DFA074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《安徽省生活垃圾分类管理条例》</w:t>
            </w:r>
          </w:p>
        </w:tc>
        <w:tc>
          <w:tcPr>
            <w:tcW w:w="2670" w:type="dxa"/>
            <w:shd w:val="clear" w:color="auto" w:fill="auto"/>
            <w:vAlign w:val="center"/>
          </w:tcPr>
          <w:p w14:paraId="17E994D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区城管执法局</w:t>
            </w:r>
          </w:p>
        </w:tc>
        <w:tc>
          <w:tcPr>
            <w:tcW w:w="630" w:type="dxa"/>
            <w:vMerge w:val="continue"/>
            <w:shd w:val="clear" w:color="auto" w:fill="auto"/>
            <w:vAlign w:val="center"/>
          </w:tcPr>
          <w:p w14:paraId="6C8E3ABE">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tr w14:paraId="3B3C4B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585" w:type="dxa"/>
            <w:vMerge w:val="continue"/>
            <w:shd w:val="clear" w:color="auto" w:fill="auto"/>
            <w:vAlign w:val="center"/>
          </w:tcPr>
          <w:p w14:paraId="20C11236">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c>
          <w:tcPr>
            <w:tcW w:w="5400" w:type="dxa"/>
            <w:shd w:val="clear" w:color="auto" w:fill="auto"/>
            <w:vAlign w:val="center"/>
          </w:tcPr>
          <w:p w14:paraId="2F35169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新出台的其他法律法规</w:t>
            </w:r>
          </w:p>
        </w:tc>
        <w:tc>
          <w:tcPr>
            <w:tcW w:w="2670" w:type="dxa"/>
            <w:shd w:val="clear" w:color="auto" w:fill="auto"/>
            <w:vAlign w:val="center"/>
          </w:tcPr>
          <w:p w14:paraId="3F82DC8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行业主管部门</w:t>
            </w:r>
          </w:p>
        </w:tc>
        <w:tc>
          <w:tcPr>
            <w:tcW w:w="630" w:type="dxa"/>
            <w:vMerge w:val="continue"/>
            <w:shd w:val="clear" w:color="auto" w:fill="auto"/>
            <w:vAlign w:val="center"/>
          </w:tcPr>
          <w:p w14:paraId="178B6304">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p>
        </w:tc>
      </w:tr>
      <w:bookmarkEnd w:id="0"/>
    </w:tbl>
    <w:p w14:paraId="42072700">
      <w:pPr>
        <w:keepNext w:val="0"/>
        <w:keepLines w:val="0"/>
        <w:pageBreakBefore w:val="0"/>
        <w:kinsoku/>
        <w:wordWrap/>
        <w:overflowPunct/>
        <w:topLinePunct w:val="0"/>
        <w:autoSpaceDE/>
        <w:autoSpaceDN/>
        <w:bidi w:val="0"/>
        <w:adjustRightInd/>
        <w:snapToGrid/>
        <w:spacing w:line="590" w:lineRule="exact"/>
        <w:textAlignment w:val="auto"/>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1308FC"/>
    <w:rsid w:val="0B1308FC"/>
    <w:rsid w:val="0C166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396</Words>
  <Characters>479</Characters>
  <Lines>0</Lines>
  <Paragraphs>0</Paragraphs>
  <TotalTime>6</TotalTime>
  <ScaleCrop>false</ScaleCrop>
  <LinksUpToDate>false</LinksUpToDate>
  <CharactersWithSpaces>497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2025-12-26T03:21:00Z</dcterms:created>
  <dc:creator>徐葵</dc:creator>
  <cp:lastModifiedBy>徐葵</cp:lastModifiedBy>
  <dcterms:modified xsi:type="dcterms:W3CDTF">2025-12-26T03:30:38Z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752A7275C4F24EC3833B441E69B71B70_11</vt:lpwstr>
  </property>
  <property fmtid="{D5CDD505-2E9C-101B-9397-08002B2CF9AE}" pid="4" name="KSOTemplateDocerSaveRecord">
    <vt:lpwstr>eyJoZGlkIjoiMDBmOWJkMzdmMzdmNzU4ODFkNmUzNDczZWI0NWZkMmIiLCJ1c2VySWQiOiI1Mjg2MzIzODYifQ==</vt:lpwstr>
  </property>
</Properties>
</file>