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B29634">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spacing w:val="-17"/>
          <w:sz w:val="44"/>
          <w:szCs w:val="44"/>
          <w:lang w:val="en-US" w:eastAsia="zh-CN"/>
        </w:rPr>
      </w:pPr>
      <w:bookmarkStart w:id="0" w:name="_GoBack"/>
      <w:r>
        <w:rPr>
          <w:rFonts w:hint="default" w:ascii="Times New Roman" w:hAnsi="Times New Roman" w:eastAsia="方正小标宋简体" w:cs="Times New Roman"/>
          <w:snapToGrid w:val="0"/>
          <w:color w:val="auto"/>
          <w:spacing w:val="-17"/>
          <w:kern w:val="0"/>
          <w:sz w:val="44"/>
          <w:szCs w:val="44"/>
          <w:u w:val="none" w:color="auto"/>
          <w:lang w:val="en-US" w:eastAsia="zh-CN"/>
        </w:rPr>
        <w:t>《铜陵市</w:t>
      </w:r>
      <w:r>
        <w:rPr>
          <w:rFonts w:hint="eastAsia" w:ascii="Times New Roman" w:hAnsi="Times New Roman" w:eastAsia="方正小标宋简体" w:cs="Times New Roman"/>
          <w:snapToGrid w:val="0"/>
          <w:color w:val="auto"/>
          <w:spacing w:val="-17"/>
          <w:kern w:val="0"/>
          <w:sz w:val="44"/>
          <w:szCs w:val="44"/>
          <w:u w:val="none" w:color="auto"/>
          <w:lang w:val="en-US" w:eastAsia="zh-CN"/>
        </w:rPr>
        <w:t>凤丹</w:t>
      </w:r>
      <w:r>
        <w:rPr>
          <w:rFonts w:hint="default" w:ascii="Times New Roman" w:hAnsi="Times New Roman" w:eastAsia="方正小标宋简体" w:cs="Times New Roman"/>
          <w:snapToGrid w:val="0"/>
          <w:color w:val="auto"/>
          <w:spacing w:val="-17"/>
          <w:kern w:val="0"/>
          <w:sz w:val="44"/>
          <w:szCs w:val="44"/>
          <w:u w:val="none" w:color="auto"/>
          <w:lang w:val="en-US" w:eastAsia="zh-CN"/>
        </w:rPr>
        <w:t>产业高质量发展规划（202</w:t>
      </w:r>
      <w:r>
        <w:rPr>
          <w:rFonts w:hint="eastAsia" w:ascii="Times New Roman" w:hAnsi="Times New Roman" w:eastAsia="方正小标宋简体" w:cs="Times New Roman"/>
          <w:snapToGrid w:val="0"/>
          <w:color w:val="auto"/>
          <w:spacing w:val="-17"/>
          <w:kern w:val="0"/>
          <w:sz w:val="44"/>
          <w:szCs w:val="44"/>
          <w:u w:val="none" w:color="auto"/>
          <w:lang w:val="en-US" w:eastAsia="zh-CN"/>
        </w:rPr>
        <w:t>5</w:t>
      </w:r>
      <w:r>
        <w:rPr>
          <w:rFonts w:hint="default" w:ascii="Times New Roman" w:hAnsi="Times New Roman" w:eastAsia="方正小标宋简体" w:cs="Times New Roman"/>
          <w:snapToGrid w:val="0"/>
          <w:color w:val="auto"/>
          <w:spacing w:val="-17"/>
          <w:kern w:val="0"/>
          <w:sz w:val="44"/>
          <w:szCs w:val="44"/>
          <w:u w:val="none" w:color="auto"/>
          <w:lang w:val="en-US" w:eastAsia="zh-CN"/>
        </w:rPr>
        <w:t>-2035年）（</w:t>
      </w:r>
      <w:r>
        <w:rPr>
          <w:rFonts w:hint="eastAsia" w:ascii="Times New Roman" w:hAnsi="Times New Roman" w:eastAsia="方正小标宋简体" w:cs="Times New Roman"/>
          <w:snapToGrid w:val="0"/>
          <w:color w:val="auto"/>
          <w:spacing w:val="-17"/>
          <w:kern w:val="0"/>
          <w:sz w:val="44"/>
          <w:szCs w:val="44"/>
          <w:u w:val="none" w:color="auto"/>
          <w:lang w:val="en-US" w:eastAsia="zh-CN"/>
        </w:rPr>
        <w:t>征求意见</w:t>
      </w:r>
      <w:r>
        <w:rPr>
          <w:rFonts w:hint="default" w:ascii="Times New Roman" w:hAnsi="Times New Roman" w:eastAsia="方正小标宋简体" w:cs="Times New Roman"/>
          <w:snapToGrid w:val="0"/>
          <w:color w:val="auto"/>
          <w:spacing w:val="-17"/>
          <w:kern w:val="0"/>
          <w:sz w:val="44"/>
          <w:szCs w:val="44"/>
          <w:u w:val="none" w:color="auto"/>
          <w:lang w:val="en-US" w:eastAsia="zh-CN"/>
        </w:rPr>
        <w:t>稿）》的起草说明</w:t>
      </w:r>
    </w:p>
    <w:bookmarkEnd w:id="0"/>
    <w:p w14:paraId="5323562C">
      <w:pPr>
        <w:keepNext w:val="0"/>
        <w:keepLines w:val="0"/>
        <w:pageBreakBefore w:val="0"/>
        <w:widowControl w:val="0"/>
        <w:shd w:val="clear" w:color="040000" w:fill="auto"/>
        <w:kinsoku/>
        <w:wordWrap/>
        <w:overflowPunct/>
        <w:topLinePunct w:val="0"/>
        <w:autoSpaceDE/>
        <w:autoSpaceDN/>
        <w:bidi w:val="0"/>
        <w:adjustRightInd w:val="0"/>
        <w:snapToGrid w:val="0"/>
        <w:spacing w:line="560" w:lineRule="exact"/>
        <w:textAlignment w:val="auto"/>
        <w:rPr>
          <w:rFonts w:hint="default" w:ascii="Times New Roman" w:hAnsi="Times New Roman" w:eastAsia="黑体" w:cs="Times New Roman"/>
          <w:b w:val="0"/>
          <w:bCs w:val="0"/>
          <w:color w:val="000000"/>
          <w:sz w:val="32"/>
          <w:szCs w:val="32"/>
          <w:lang w:val="en-US" w:eastAsia="zh-CN"/>
        </w:rPr>
      </w:pPr>
    </w:p>
    <w:p w14:paraId="34DD4624">
      <w:pPr>
        <w:keepNext w:val="0"/>
        <w:keepLines w:val="0"/>
        <w:pageBreakBefore w:val="0"/>
        <w:numPr>
          <w:ilvl w:val="0"/>
          <w:numId w:val="1"/>
        </w:numPr>
        <w:kinsoku/>
        <w:wordWrap/>
        <w:overflowPunct/>
        <w:topLinePunct w:val="0"/>
        <w:autoSpaceDN/>
        <w:bidi w:val="0"/>
        <w:adjustRightInd/>
        <w:snapToGrid/>
        <w:spacing w:line="520" w:lineRule="exact"/>
        <w:ind w:right="-101" w:rightChars="-48" w:firstLine="640" w:firstLineChars="200"/>
        <w:textAlignment w:val="auto"/>
        <w:rPr>
          <w:rFonts w:hint="eastAsia" w:ascii="黑体" w:hAnsi="黑体" w:eastAsia="黑体" w:cs="仿宋"/>
          <w:sz w:val="32"/>
          <w:szCs w:val="32"/>
        </w:rPr>
      </w:pPr>
      <w:r>
        <w:rPr>
          <w:rFonts w:hint="eastAsia" w:ascii="黑体" w:hAnsi="黑体" w:eastAsia="黑体" w:cs="仿宋"/>
          <w:sz w:val="32"/>
          <w:szCs w:val="32"/>
        </w:rPr>
        <w:t>编制背景</w:t>
      </w:r>
    </w:p>
    <w:p w14:paraId="6236FDA9">
      <w:pPr>
        <w:keepNext w:val="0"/>
        <w:keepLines w:val="0"/>
        <w:pageBreakBefore w:val="0"/>
        <w:kinsoku/>
        <w:wordWrap/>
        <w:overflowPunct/>
        <w:topLinePunct w:val="0"/>
        <w:autoSpaceDE w:val="0"/>
        <w:autoSpaceDN/>
        <w:bidi w:val="0"/>
        <w:adjustRightInd/>
        <w:snapToGrid/>
        <w:spacing w:line="520" w:lineRule="exact"/>
        <w:ind w:firstLine="640" w:firstLineChars="200"/>
        <w:jc w:val="both"/>
        <w:textAlignment w:val="auto"/>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产业振兴是乡村振兴的重中之重。习近平总书记强调：“各地推动产业振兴，要把‘土特产’这3个字琢磨透”。2024年中央一号文件就“提升乡村产业发展水平”进行专章部署，鼓励各地因地制宜大力发展特色产业，支持打造乡土特色品牌</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rPr>
        <w:t>近年来，</w:t>
      </w:r>
      <w:r>
        <w:rPr>
          <w:rFonts w:hint="eastAsia" w:ascii="Times New Roman" w:hAnsi="Times New Roman" w:eastAsia="仿宋_GB2312" w:cs="Times New Roman"/>
          <w:sz w:val="32"/>
          <w:szCs w:val="32"/>
          <w:lang w:eastAsia="zh-CN"/>
        </w:rPr>
        <w:t>我</w:t>
      </w:r>
      <w:r>
        <w:rPr>
          <w:rFonts w:hint="eastAsia" w:ascii="Times New Roman" w:hAnsi="Times New Roman" w:eastAsia="仿宋_GB2312" w:cs="Times New Roman"/>
          <w:sz w:val="32"/>
          <w:szCs w:val="32"/>
        </w:rPr>
        <w:t>市</w:t>
      </w:r>
      <w:r>
        <w:rPr>
          <w:rFonts w:hint="eastAsia" w:ascii="Times New Roman" w:hAnsi="Times New Roman" w:eastAsia="仿宋_GB2312" w:cs="Times New Roman"/>
          <w:sz w:val="32"/>
          <w:szCs w:val="32"/>
          <w:lang w:eastAsia="zh-CN"/>
        </w:rPr>
        <w:t>紧紧</w:t>
      </w:r>
      <w:r>
        <w:rPr>
          <w:rFonts w:hint="eastAsia" w:ascii="Times New Roman" w:hAnsi="Times New Roman" w:eastAsia="仿宋_GB2312" w:cs="Times New Roman"/>
          <w:sz w:val="32"/>
          <w:szCs w:val="32"/>
        </w:rPr>
        <w:t>围绕</w:t>
      </w:r>
      <w:r>
        <w:rPr>
          <w:rFonts w:hint="eastAsia" w:ascii="Times New Roman" w:hAnsi="Times New Roman" w:eastAsia="仿宋_GB2312" w:cs="Times New Roman"/>
          <w:sz w:val="32"/>
          <w:szCs w:val="32"/>
          <w:lang w:eastAsia="zh-CN"/>
        </w:rPr>
        <w:t>“七个一”</w:t>
      </w:r>
      <w:r>
        <w:rPr>
          <w:rFonts w:hint="eastAsia" w:ascii="Times New Roman" w:hAnsi="Times New Roman" w:eastAsia="仿宋_GB2312" w:cs="Times New Roman"/>
          <w:sz w:val="32"/>
          <w:szCs w:val="32"/>
        </w:rPr>
        <w:t>农业</w:t>
      </w:r>
      <w:r>
        <w:rPr>
          <w:rFonts w:hint="eastAsia" w:ascii="Times New Roman" w:hAnsi="Times New Roman" w:eastAsia="仿宋_GB2312" w:cs="Times New Roman"/>
          <w:sz w:val="32"/>
          <w:szCs w:val="32"/>
          <w:lang w:eastAsia="zh-CN"/>
        </w:rPr>
        <w:t>特色</w:t>
      </w:r>
      <w:r>
        <w:rPr>
          <w:rFonts w:hint="eastAsia" w:ascii="Times New Roman" w:hAnsi="Times New Roman" w:eastAsia="仿宋_GB2312" w:cs="Times New Roman"/>
          <w:sz w:val="32"/>
          <w:szCs w:val="32"/>
        </w:rPr>
        <w:t>产业</w:t>
      </w:r>
      <w:r>
        <w:rPr>
          <w:rFonts w:hint="eastAsia" w:ascii="Times New Roman" w:hAnsi="Times New Roman" w:eastAsia="仿宋_GB2312" w:cs="Times New Roman"/>
          <w:sz w:val="32"/>
          <w:szCs w:val="32"/>
          <w:lang w:eastAsia="zh-CN"/>
        </w:rPr>
        <w:t>，不断推进乡村振兴和农业高质量发展，</w:t>
      </w:r>
      <w:r>
        <w:rPr>
          <w:rFonts w:hint="eastAsia" w:ascii="Times New Roman" w:hAnsi="Times New Roman" w:eastAsia="仿宋_GB2312" w:cs="Times New Roman"/>
          <w:sz w:val="32"/>
          <w:szCs w:val="32"/>
          <w:lang w:val="en-US" w:eastAsia="zh-CN"/>
        </w:rPr>
        <w:t>着手开展产业规划编制工作，目前白姜规划已经印发，“安徽义安</w:t>
      </w:r>
      <w:r>
        <w:rPr>
          <w:rFonts w:hint="eastAsia" w:ascii="Times New Roman" w:hAnsi="Times New Roman" w:eastAsia="仿宋_GB2312" w:cs="Times New Roman"/>
          <w:sz w:val="32"/>
          <w:szCs w:val="32"/>
        </w:rPr>
        <w:t>凤丹</w:t>
      </w:r>
      <w:r>
        <w:rPr>
          <w:rFonts w:hint="eastAsia" w:ascii="Times New Roman" w:hAnsi="Times New Roman" w:eastAsia="仿宋_GB2312" w:cs="Times New Roman"/>
          <w:sz w:val="32"/>
          <w:szCs w:val="32"/>
          <w:lang w:eastAsia="zh-CN"/>
        </w:rPr>
        <w:t>栽培系统</w:t>
      </w:r>
      <w:r>
        <w:rPr>
          <w:rFonts w:hint="eastAsia" w:ascii="Times New Roman" w:hAnsi="Times New Roman" w:eastAsia="仿宋_GB2312" w:cs="Times New Roman"/>
          <w:sz w:val="32"/>
          <w:szCs w:val="32"/>
          <w:lang w:val="en-US" w:eastAsia="zh-CN"/>
        </w:rPr>
        <w:t>”作为中国重要农业文化遗产，发展历史悠久，但整体规模较小、知名度不高</w:t>
      </w:r>
      <w:r>
        <w:rPr>
          <w:rFonts w:hint="eastAsia"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急需从</w:t>
      </w:r>
      <w:r>
        <w:rPr>
          <w:rFonts w:hint="eastAsia" w:ascii="Times New Roman" w:hAnsi="Times New Roman" w:eastAsia="仿宋_GB2312" w:cs="Times New Roman"/>
          <w:sz w:val="32"/>
          <w:szCs w:val="32"/>
        </w:rPr>
        <w:t>顶层设计</w:t>
      </w:r>
      <w:r>
        <w:rPr>
          <w:rFonts w:hint="eastAsia" w:ascii="Times New Roman" w:hAnsi="Times New Roman" w:eastAsia="仿宋_GB2312" w:cs="Times New Roman"/>
          <w:sz w:val="32"/>
          <w:szCs w:val="32"/>
          <w:lang w:eastAsia="zh-CN"/>
        </w:rPr>
        <w:t>上来引领铜陵凤丹产业发展，</w:t>
      </w:r>
      <w:r>
        <w:rPr>
          <w:rFonts w:hint="eastAsia" w:ascii="Times New Roman" w:hAnsi="Times New Roman" w:eastAsia="仿宋_GB2312" w:cs="Times New Roman"/>
          <w:sz w:val="32"/>
          <w:szCs w:val="32"/>
        </w:rPr>
        <w:t>进一步找准定位、理清思路、实化举措，深入挖掘</w:t>
      </w:r>
      <w:r>
        <w:rPr>
          <w:rFonts w:hint="eastAsia" w:ascii="Times New Roman" w:hAnsi="Times New Roman" w:eastAsia="仿宋_GB2312" w:cs="Times New Roman"/>
          <w:sz w:val="32"/>
          <w:szCs w:val="32"/>
          <w:lang w:val="en-US" w:eastAsia="zh-CN"/>
        </w:rPr>
        <w:t>凤丹</w:t>
      </w:r>
      <w:r>
        <w:rPr>
          <w:rFonts w:hint="eastAsia" w:ascii="Times New Roman" w:hAnsi="Times New Roman" w:eastAsia="仿宋_GB2312" w:cs="Times New Roman"/>
          <w:sz w:val="32"/>
          <w:szCs w:val="32"/>
        </w:rPr>
        <w:t>的经济、社会、文化、生态、科技等多重价值，加快品牌化、产业化建设，更好推动</w:t>
      </w:r>
      <w:r>
        <w:rPr>
          <w:rFonts w:hint="eastAsia" w:ascii="Times New Roman" w:hAnsi="Times New Roman" w:eastAsia="仿宋_GB2312" w:cs="Times New Roman"/>
          <w:sz w:val="32"/>
          <w:szCs w:val="32"/>
          <w:lang w:val="en-US" w:eastAsia="zh-CN"/>
        </w:rPr>
        <w:t>凤丹</w:t>
      </w:r>
      <w:r>
        <w:rPr>
          <w:rFonts w:hint="eastAsia" w:ascii="Times New Roman" w:hAnsi="Times New Roman" w:eastAsia="仿宋_GB2312" w:cs="Times New Roman"/>
          <w:sz w:val="32"/>
          <w:szCs w:val="32"/>
        </w:rPr>
        <w:t>产业高质量发展。</w:t>
      </w:r>
    </w:p>
    <w:p w14:paraId="5BB1D647">
      <w:pPr>
        <w:keepNext w:val="0"/>
        <w:keepLines w:val="0"/>
        <w:pageBreakBefore w:val="0"/>
        <w:kinsoku/>
        <w:wordWrap/>
        <w:overflowPunct/>
        <w:topLinePunct w:val="0"/>
        <w:autoSpaceDE w:val="0"/>
        <w:autoSpaceDN/>
        <w:bidi w:val="0"/>
        <w:adjustRightInd/>
        <w:snapToGrid/>
        <w:spacing w:line="520" w:lineRule="exact"/>
        <w:ind w:firstLine="640" w:firstLineChars="200"/>
        <w:textAlignment w:val="auto"/>
        <w:rPr>
          <w:rFonts w:ascii="仿宋" w:hAnsi="仿宋" w:eastAsia="仿宋"/>
          <w:sz w:val="32"/>
          <w:szCs w:val="32"/>
        </w:rPr>
      </w:pPr>
      <w:r>
        <w:rPr>
          <w:rFonts w:hint="eastAsia" w:ascii="黑体" w:hAnsi="黑体" w:eastAsia="黑体"/>
          <w:color w:val="000000"/>
          <w:sz w:val="32"/>
          <w:szCs w:val="32"/>
          <w:lang w:val="en-US" w:eastAsia="zh-CN"/>
        </w:rPr>
        <w:t>二</w:t>
      </w:r>
      <w:r>
        <w:rPr>
          <w:rFonts w:ascii="黑体" w:hAnsi="黑体" w:eastAsia="黑体"/>
          <w:color w:val="000000"/>
          <w:sz w:val="32"/>
          <w:szCs w:val="32"/>
        </w:rPr>
        <w:t>、编制过程</w:t>
      </w:r>
    </w:p>
    <w:p w14:paraId="44B683C9">
      <w:pPr>
        <w:keepNext w:val="0"/>
        <w:keepLines w:val="0"/>
        <w:pageBreakBefore w:val="0"/>
        <w:kinsoku/>
        <w:wordWrap/>
        <w:overflowPunct/>
        <w:topLinePunct w:val="0"/>
        <w:autoSpaceDE w:val="0"/>
        <w:autoSpaceDN/>
        <w:bidi w:val="0"/>
        <w:adjustRightInd/>
        <w:snapToGrid/>
        <w:spacing w:line="520" w:lineRule="exact"/>
        <w:ind w:firstLine="643"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_GB2312" w:cs="Times New Roman"/>
          <w:b/>
          <w:sz w:val="32"/>
          <w:szCs w:val="32"/>
        </w:rPr>
        <w:t>一是部署准备阶段。</w:t>
      </w:r>
      <w:r>
        <w:rPr>
          <w:rFonts w:hint="default" w:ascii="Times New Roman" w:hAnsi="Times New Roman" w:eastAsia="仿宋_GB2312" w:cs="Times New Roman"/>
          <w:sz w:val="32"/>
          <w:szCs w:val="32"/>
        </w:rPr>
        <w:t>2024年</w:t>
      </w:r>
      <w:r>
        <w:rPr>
          <w:rFonts w:hint="default" w:ascii="Times New Roman" w:hAnsi="Times New Roman" w:eastAsia="仿宋_GB2312" w:cs="Times New Roman"/>
          <w:sz w:val="32"/>
          <w:szCs w:val="32"/>
          <w:lang w:val="en-US" w:eastAsia="zh-CN"/>
        </w:rPr>
        <w:t>4月10日，举办“醉美凤丹 春游义安”铜陵凤丹文化旅游月开幕式暨凤丹文化产业洽谈对接会等活动，邀请原国家林业局副局长李育材、中国科学院院士匡廷云等专家教授为凤丹产业发展建言献策。4月12日，市委常委、组织部部长、市现代农业和绿色食品产业链链长郑刚专题召开凤丹产业发展规划编制工作部署会，要求尽快启动凤丹产业发展规划编制工作。6月，义安区组织核心区3个乡镇负责人、龙头企业、合作社、种植大户代表等开展座谈，并多次赴凤丹企业实地调研了解情况，广泛征集规划建议。</w:t>
      </w:r>
    </w:p>
    <w:p w14:paraId="63F26A8A">
      <w:pPr>
        <w:keepNext w:val="0"/>
        <w:keepLines w:val="0"/>
        <w:pageBreakBefore w:val="0"/>
        <w:kinsoku/>
        <w:wordWrap/>
        <w:overflowPunct/>
        <w:topLinePunct w:val="0"/>
        <w:autoSpaceDE w:val="0"/>
        <w:autoSpaceDN/>
        <w:bidi w:val="0"/>
        <w:adjustRightInd/>
        <w:snapToGrid/>
        <w:spacing w:line="520" w:lineRule="exact"/>
        <w:ind w:firstLine="643" w:firstLineChars="200"/>
        <w:textAlignment w:val="auto"/>
        <w:rPr>
          <w:rFonts w:hint="default" w:ascii="Times New Roman" w:hAnsi="Times New Roman" w:eastAsia="仿宋_GB2312" w:cs="Times New Roman"/>
          <w:sz w:val="32"/>
          <w:szCs w:val="32"/>
        </w:rPr>
      </w:pPr>
      <w:r>
        <w:rPr>
          <w:rFonts w:hint="default" w:ascii="Times New Roman" w:hAnsi="Times New Roman" w:eastAsia="楷体_GB2312" w:cs="Times New Roman"/>
          <w:b/>
          <w:sz w:val="32"/>
          <w:szCs w:val="32"/>
        </w:rPr>
        <w:t>二是谋划起草阶段。</w:t>
      </w:r>
      <w:r>
        <w:rPr>
          <w:rFonts w:hint="default" w:ascii="Times New Roman" w:hAnsi="Times New Roman" w:eastAsia="仿宋_GB2312" w:cs="Times New Roman"/>
          <w:b w:val="0"/>
          <w:bCs/>
          <w:sz w:val="32"/>
          <w:szCs w:val="32"/>
          <w:lang w:val="en-US" w:eastAsia="zh-CN"/>
        </w:rPr>
        <w:t>2024年</w:t>
      </w:r>
      <w:r>
        <w:rPr>
          <w:rFonts w:hint="default" w:ascii="Times New Roman" w:hAnsi="Times New Roman" w:eastAsia="仿宋_GB2312" w:cs="Times New Roman"/>
          <w:b w:val="0"/>
          <w:bCs/>
          <w:sz w:val="32"/>
          <w:szCs w:val="32"/>
        </w:rPr>
        <w:t>7月，</w:t>
      </w:r>
      <w:r>
        <w:rPr>
          <w:rFonts w:hint="default" w:ascii="Times New Roman" w:hAnsi="Times New Roman" w:eastAsia="仿宋_GB2312" w:cs="Times New Roman"/>
          <w:b w:val="0"/>
          <w:bCs/>
          <w:sz w:val="32"/>
          <w:szCs w:val="32"/>
          <w:lang w:eastAsia="zh-CN"/>
        </w:rPr>
        <w:t>义</w:t>
      </w:r>
      <w:r>
        <w:rPr>
          <w:rFonts w:hint="default" w:ascii="Times New Roman" w:hAnsi="Times New Roman" w:eastAsia="仿宋_GB2312" w:cs="Times New Roman"/>
          <w:sz w:val="32"/>
          <w:szCs w:val="32"/>
          <w:lang w:eastAsia="zh-CN"/>
        </w:rPr>
        <w:t>安区</w:t>
      </w:r>
      <w:r>
        <w:rPr>
          <w:rFonts w:hint="eastAsia" w:ascii="Times New Roman" w:hAnsi="Times New Roman" w:eastAsia="仿宋_GB2312" w:cs="Times New Roman"/>
          <w:sz w:val="32"/>
          <w:szCs w:val="32"/>
          <w:lang w:eastAsia="zh-CN"/>
        </w:rPr>
        <w:t>启动规划编制单位招标工作</w:t>
      </w:r>
      <w:r>
        <w:rPr>
          <w:rFonts w:hint="default" w:ascii="Times New Roman" w:hAnsi="Times New Roman" w:eastAsia="仿宋_GB2312" w:cs="Times New Roman"/>
          <w:sz w:val="32"/>
          <w:szCs w:val="32"/>
        </w:rPr>
        <w:t>，经招标最终由北京国宏英杰国际咨询股份有限公司开展《铜陵市凤丹产业高质量发展规划（202</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-2035年）》编制工作，并收集规划基础资料。</w:t>
      </w:r>
    </w:p>
    <w:p w14:paraId="6F8E358C">
      <w:pPr>
        <w:keepNext w:val="0"/>
        <w:keepLines w:val="0"/>
        <w:pageBreakBefore w:val="0"/>
        <w:kinsoku/>
        <w:wordWrap/>
        <w:overflowPunct/>
        <w:topLinePunct w:val="0"/>
        <w:autoSpaceDE w:val="0"/>
        <w:autoSpaceDN/>
        <w:bidi w:val="0"/>
        <w:adjustRightInd/>
        <w:snapToGrid/>
        <w:spacing w:line="520" w:lineRule="exact"/>
        <w:ind w:firstLine="643" w:firstLineChars="200"/>
        <w:textAlignment w:val="auto"/>
        <w:rPr>
          <w:rFonts w:hint="default" w:ascii="Times New Roman" w:hAnsi="Times New Roman" w:eastAsia="仿宋_GB2312" w:cs="Times New Roman"/>
          <w:sz w:val="32"/>
          <w:szCs w:val="32"/>
          <w:lang w:val="en-US"/>
        </w:rPr>
      </w:pPr>
      <w:r>
        <w:rPr>
          <w:rFonts w:hint="default" w:ascii="Times New Roman" w:hAnsi="Times New Roman" w:eastAsia="楷体_GB2312" w:cs="Times New Roman"/>
          <w:b/>
          <w:sz w:val="32"/>
          <w:szCs w:val="32"/>
        </w:rPr>
        <w:t>三是形成初稿阶段。</w:t>
      </w:r>
      <w:r>
        <w:rPr>
          <w:rFonts w:hint="default" w:ascii="Times New Roman" w:hAnsi="Times New Roman" w:eastAsia="仿宋_GB2312" w:cs="Times New Roman"/>
          <w:b w:val="0"/>
          <w:bCs/>
          <w:sz w:val="32"/>
          <w:szCs w:val="32"/>
          <w:lang w:val="en-US" w:eastAsia="zh-CN"/>
        </w:rPr>
        <w:t>2024年</w:t>
      </w:r>
      <w:r>
        <w:rPr>
          <w:rFonts w:hint="default" w:ascii="Times New Roman" w:hAnsi="Times New Roman" w:eastAsia="仿宋_GB2312" w:cs="Times New Roman"/>
          <w:sz w:val="32"/>
          <w:szCs w:val="32"/>
          <w:lang w:val="en-US" w:eastAsia="zh-CN"/>
        </w:rPr>
        <w:t>8月-11月，在收集基础资料、广泛调研和实地考察的基础上，修改并形成《铜陵市凤丹产业高质量发展规划（202</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-2035年）》征求意见稿。11月4日郑刚部长再次主持召开铜陵市“七个一”农业特色产业规划编制调度会，明确各专项产业规划编制事宜。我局先后两次书面征求相关市直部门和县区政府意见，在此之前义安区也通过召开座谈会等多种形式征求相关部门、乡镇和企业意见建议，共收集意见建</w:t>
      </w:r>
      <w:r>
        <w:rPr>
          <w:rFonts w:hint="default" w:ascii="Times New Roman" w:hAnsi="Times New Roman" w:eastAsia="仿宋_GB2312" w:cs="Times New Roman"/>
          <w:sz w:val="32"/>
          <w:szCs w:val="32"/>
          <w:highlight w:val="none"/>
          <w:lang w:val="en-US" w:eastAsia="zh-CN"/>
        </w:rPr>
        <w:t>议26条，我局联合义安区</w:t>
      </w:r>
      <w:r>
        <w:rPr>
          <w:rFonts w:hint="default" w:ascii="Times New Roman" w:hAnsi="Times New Roman" w:eastAsia="仿宋_GB2312" w:cs="Times New Roman"/>
          <w:sz w:val="32"/>
          <w:szCs w:val="32"/>
          <w:lang w:val="en-US" w:eastAsia="zh-CN"/>
        </w:rPr>
        <w:t>充分吸纳各部门、单位反馈的意见，以及规划编制调度会上与会同志反馈的意见，再次修改和完善。</w:t>
      </w:r>
    </w:p>
    <w:p w14:paraId="0F98358A">
      <w:pPr>
        <w:keepNext w:val="0"/>
        <w:keepLines w:val="0"/>
        <w:pageBreakBefore w:val="0"/>
        <w:kinsoku/>
        <w:wordWrap/>
        <w:overflowPunct/>
        <w:topLinePunct w:val="0"/>
        <w:autoSpaceDE w:val="0"/>
        <w:autoSpaceDN/>
        <w:bidi w:val="0"/>
        <w:adjustRightInd/>
        <w:snapToGrid/>
        <w:spacing w:line="520" w:lineRule="exact"/>
        <w:ind w:firstLine="640" w:firstLineChars="200"/>
        <w:textAlignment w:val="auto"/>
        <w:rPr>
          <w:rFonts w:hint="eastAsia" w:ascii="黑体" w:hAnsi="黑体" w:eastAsia="黑体"/>
          <w:color w:val="000000"/>
          <w:sz w:val="32"/>
          <w:szCs w:val="32"/>
          <w:lang w:eastAsia="zh-CN"/>
        </w:rPr>
      </w:pPr>
      <w:r>
        <w:rPr>
          <w:rFonts w:hint="eastAsia" w:ascii="黑体" w:hAnsi="黑体" w:eastAsia="黑体"/>
          <w:color w:val="000000"/>
          <w:sz w:val="32"/>
          <w:szCs w:val="32"/>
          <w:lang w:val="en-US" w:eastAsia="zh-CN"/>
        </w:rPr>
        <w:t>三</w:t>
      </w:r>
      <w:r>
        <w:rPr>
          <w:rFonts w:ascii="黑体" w:hAnsi="黑体" w:eastAsia="黑体"/>
          <w:color w:val="000000"/>
          <w:sz w:val="32"/>
          <w:szCs w:val="32"/>
        </w:rPr>
        <w:t>、主要</w:t>
      </w:r>
      <w:r>
        <w:rPr>
          <w:rFonts w:hint="eastAsia" w:ascii="黑体" w:hAnsi="黑体" w:eastAsia="黑体"/>
          <w:color w:val="000000"/>
          <w:sz w:val="32"/>
          <w:szCs w:val="32"/>
          <w:lang w:val="en-US" w:eastAsia="zh-CN"/>
        </w:rPr>
        <w:t>特点</w:t>
      </w:r>
    </w:p>
    <w:p w14:paraId="756482E9">
      <w:pPr>
        <w:keepNext w:val="0"/>
        <w:keepLines w:val="0"/>
        <w:pageBreakBefore w:val="0"/>
        <w:widowControl/>
        <w:suppressLineNumbers w:val="0"/>
        <w:kinsoku/>
        <w:wordWrap/>
        <w:overflowPunct/>
        <w:topLinePunct w:val="0"/>
        <w:autoSpaceDN/>
        <w:bidi w:val="0"/>
        <w:adjustRightInd/>
        <w:snapToGrid/>
        <w:spacing w:line="520" w:lineRule="exact"/>
        <w:ind w:firstLine="643" w:firstLineChars="200"/>
        <w:jc w:val="left"/>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_GB2312" w:cs="Times New Roman"/>
          <w:b/>
          <w:sz w:val="32"/>
          <w:szCs w:val="32"/>
          <w:lang w:val="en-US" w:eastAsia="zh-CN"/>
        </w:rPr>
        <w:t>一是打造“一区四地”，明确新定位。</w:t>
      </w:r>
      <w:r>
        <w:rPr>
          <w:rFonts w:hint="default" w:ascii="Times New Roman" w:hAnsi="Times New Roman" w:eastAsia="仿宋_GB2312" w:cs="Times New Roman"/>
          <w:sz w:val="32"/>
          <w:szCs w:val="32"/>
          <w:lang w:val="en-US" w:eastAsia="zh-CN"/>
        </w:rPr>
        <w:t>以创新驱动、融合促进产业发展，加强种质资源保护、文化遗产传承、全产业链培育、业态融合发展等，全力将铜陵市打造成全国南方牡丹传承保护与高质量发展示范区，建设全国南方牡丹种质资源保护基地、全国南方牡丹科技创新示范基地、全国南方牡丹产业融合示范基地、全国南方牡丹文化交流示范基地，以“一区四地”新定位引领凤丹产业高质量发展。按照重点突出、分阶段推进的总体思路明确了202</w:t>
      </w:r>
      <w:r>
        <w:rPr>
          <w:rFonts w:hint="eastAsia" w:ascii="Times New Roman" w:hAnsi="Times New Roman" w:eastAsia="仿宋_GB2312" w:cs="Times New Roman"/>
          <w:sz w:val="32"/>
          <w:szCs w:val="32"/>
          <w:lang w:val="en-US" w:eastAsia="zh-CN"/>
        </w:rPr>
        <w:t>7</w:t>
      </w:r>
      <w:r>
        <w:rPr>
          <w:rFonts w:hint="default" w:ascii="Times New Roman" w:hAnsi="Times New Roman" w:eastAsia="仿宋_GB2312" w:cs="Times New Roman"/>
          <w:sz w:val="32"/>
          <w:szCs w:val="32"/>
          <w:lang w:val="en-US" w:eastAsia="zh-CN"/>
        </w:rPr>
        <w:t>、2030、2035年的阶段性目标。</w:t>
      </w:r>
    </w:p>
    <w:p w14:paraId="7C5268AD">
      <w:pPr>
        <w:keepNext w:val="0"/>
        <w:keepLines w:val="0"/>
        <w:pageBreakBefore w:val="0"/>
        <w:widowControl/>
        <w:suppressLineNumbers w:val="0"/>
        <w:kinsoku/>
        <w:wordWrap/>
        <w:overflowPunct/>
        <w:topLinePunct w:val="0"/>
        <w:autoSpaceDN/>
        <w:bidi w:val="0"/>
        <w:adjustRightInd/>
        <w:snapToGrid/>
        <w:spacing w:line="520" w:lineRule="exact"/>
        <w:ind w:firstLine="643" w:firstLineChars="200"/>
        <w:jc w:val="left"/>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_GB2312" w:cs="Times New Roman"/>
          <w:b/>
          <w:sz w:val="32"/>
          <w:szCs w:val="32"/>
          <w:lang w:val="en-US" w:eastAsia="zh-CN"/>
        </w:rPr>
        <w:t>二是统筹“一核三区多点”，构建新格局。</w:t>
      </w:r>
      <w:r>
        <w:rPr>
          <w:rFonts w:hint="default" w:ascii="Times New Roman" w:hAnsi="Times New Roman" w:eastAsia="仿宋_GB2312" w:cs="Times New Roman"/>
          <w:sz w:val="32"/>
          <w:szCs w:val="32"/>
          <w:lang w:val="en-US" w:eastAsia="zh-CN"/>
        </w:rPr>
        <w:t>围绕凤丹产业未来发展需求，统筹考虑凤丹历史种植区域、区域自然环境适配性等，以铜陵国家农业科技园区为凤丹高质量发展创新核，以义安区为凤丹高质量发展示范区、市域其他区域为凤丹高质量发展拓展区、周边市县为凤丹高质量发展协同联动区，同时在市域范围布局一批凤丹种植、初加工、精深加工、农旅融合节点，构建凤丹产业“一核三区多点”空间发展格局。</w:t>
      </w:r>
    </w:p>
    <w:p w14:paraId="3D058292">
      <w:pPr>
        <w:keepNext w:val="0"/>
        <w:keepLines w:val="0"/>
        <w:pageBreakBefore w:val="0"/>
        <w:widowControl/>
        <w:suppressLineNumbers w:val="0"/>
        <w:kinsoku/>
        <w:wordWrap/>
        <w:overflowPunct/>
        <w:topLinePunct w:val="0"/>
        <w:autoSpaceDN/>
        <w:bidi w:val="0"/>
        <w:adjustRightInd/>
        <w:snapToGrid/>
        <w:spacing w:line="520" w:lineRule="exact"/>
        <w:ind w:firstLine="643" w:firstLineChars="200"/>
        <w:jc w:val="left"/>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_GB2312" w:cs="Times New Roman"/>
          <w:b/>
          <w:sz w:val="32"/>
          <w:szCs w:val="32"/>
          <w:lang w:val="en-US" w:eastAsia="zh-CN"/>
        </w:rPr>
        <w:t>三是实施“五大行动”，打造新路径。</w:t>
      </w:r>
      <w:r>
        <w:rPr>
          <w:rFonts w:hint="default" w:ascii="Times New Roman" w:hAnsi="Times New Roman" w:eastAsia="仿宋_GB2312" w:cs="Times New Roman"/>
          <w:sz w:val="32"/>
          <w:szCs w:val="32"/>
          <w:lang w:val="en-US" w:eastAsia="zh-CN"/>
        </w:rPr>
        <w:t>实施凤丹扩规补链、科技创新赋能、品牌质量提升、凤丹文化开发、凤丹绿色提质五大行动打造产业凤丹、科技凤丹、品质凤丹、人文凤丹、生态凤丹，部署安排具体抓手事项和重点项目，切实做到综合施策，精准发力。</w:t>
      </w:r>
    </w:p>
    <w:p w14:paraId="2488F250">
      <w:pPr>
        <w:keepNext w:val="0"/>
        <w:keepLines w:val="0"/>
        <w:pageBreakBefore w:val="0"/>
        <w:widowControl/>
        <w:suppressLineNumbers w:val="0"/>
        <w:kinsoku/>
        <w:wordWrap/>
        <w:overflowPunct/>
        <w:topLinePunct w:val="0"/>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为落实好发展规划，我们正在制定凤丹产业发展三年提升方案，明确工作重点和具体安排，确保《发展规划》实施开好局、起好步。</w:t>
      </w:r>
    </w:p>
    <w:p w14:paraId="43AB0B9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30EF12"/>
    <w:multiLevelType w:val="singleLevel"/>
    <w:tmpl w:val="1B30EF12"/>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17608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2</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2025-10-21T10:03:11Z</dcterms:created>
  <dc:creator>Lenovo</dc:creator>
  <cp:lastModifiedBy>该怎么习惯</cp:lastModifiedBy>
  <dcterms:modified xsi:type="dcterms:W3CDTF">2025-10-21T10:05:44Z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eyJoZGlkIjoiNzIwOGU2N2RhNGYxMWIxZTM1NDc2NjZiYjRjMTNmYzIiLCJ1c2VySWQiOiIzMTk3NDg3NjAifQ==</vt:lpwstr>
  </property>
  <property fmtid="{D5CDD505-2E9C-101B-9397-08002B2CF9AE}" pid="4" name="ICV">
    <vt:lpwstr>BA2A416F18324ABEAB0BF1C175524DE4_12</vt:lpwstr>
  </property>
</Properties>
</file>