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3D940">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eastAsia="zh-CN"/>
        </w:rPr>
        <w:t>《关于加强完善农村集体“三资”监管“四全”机制建设的实施意见（</w:t>
      </w:r>
      <w:r>
        <w:rPr>
          <w:rFonts w:hint="eastAsia" w:ascii="方正小标宋简体" w:hAnsi="方正小标宋简体" w:eastAsia="方正小标宋简体" w:cs="方正小标宋简体"/>
          <w:color w:val="auto"/>
          <w:sz w:val="44"/>
          <w:szCs w:val="44"/>
          <w:lang w:val="en-US" w:eastAsia="zh-CN"/>
        </w:rPr>
        <w:t>送审稿</w:t>
      </w:r>
      <w:r>
        <w:rPr>
          <w:rFonts w:hint="eastAsia" w:ascii="方正小标宋简体" w:hAnsi="方正小标宋简体" w:eastAsia="方正小标宋简体" w:cs="方正小标宋简体"/>
          <w:color w:val="auto"/>
          <w:sz w:val="44"/>
          <w:szCs w:val="44"/>
          <w:lang w:eastAsia="zh-CN"/>
        </w:rPr>
        <w:t>）》</w:t>
      </w:r>
    </w:p>
    <w:p w14:paraId="09FFAE40">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color w:val="auto"/>
          <w:sz w:val="44"/>
          <w:szCs w:val="44"/>
          <w:lang w:val="en-US"/>
        </w:rPr>
      </w:pPr>
      <w:bookmarkStart w:id="0" w:name="_GoBack"/>
      <w:bookmarkEnd w:id="0"/>
      <w:r>
        <w:rPr>
          <w:rFonts w:hint="eastAsia" w:ascii="方正小标宋简体" w:hAnsi="方正小标宋简体" w:eastAsia="方正小标宋简体" w:cs="方正小标宋简体"/>
          <w:color w:val="auto"/>
          <w:sz w:val="44"/>
          <w:szCs w:val="44"/>
          <w:lang w:val="en-US" w:eastAsia="zh-CN"/>
        </w:rPr>
        <w:t>起草说明</w:t>
      </w:r>
    </w:p>
    <w:p w14:paraId="45385D0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p>
    <w:p w14:paraId="7446AAC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一、起草背景</w:t>
      </w:r>
    </w:p>
    <w:p w14:paraId="167B552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楷体_GB2312" w:hAnsi="楷体_GB2312" w:eastAsia="楷体_GB2312" w:cs="楷体_GB2312"/>
          <w:sz w:val="32"/>
          <w:szCs w:val="32"/>
        </w:rPr>
        <w:t>一是落实上级政策的必然要求。</w:t>
      </w:r>
      <w:r>
        <w:rPr>
          <w:rFonts w:hint="default" w:ascii="Times New Roman" w:hAnsi="Times New Roman" w:eastAsia="仿宋_GB2312" w:cs="Times New Roman"/>
          <w:sz w:val="32"/>
          <w:szCs w:val="32"/>
        </w:rPr>
        <w:t>2022年中央一号文件提出：抓好农村改革重点任务落实，探索建立农村集体资产监督管理服务体系，开展农村产权流转交易市场规范化建设试点。</w:t>
      </w:r>
      <w:r>
        <w:rPr>
          <w:rFonts w:hint="eastAsia" w:ascii="Times New Roman" w:hAnsi="Times New Roman" w:eastAsia="仿宋_GB2312" w:cs="Times New Roman"/>
          <w:sz w:val="32"/>
          <w:szCs w:val="32"/>
          <w:lang w:val="en-US" w:eastAsia="zh-CN"/>
        </w:rPr>
        <w:t>中央及省委省政府也陆续印发有关文件，推动</w:t>
      </w:r>
      <w:r>
        <w:rPr>
          <w:rFonts w:hint="default" w:ascii="Times New Roman" w:hAnsi="Times New Roman" w:eastAsia="仿宋_GB2312" w:cs="Times New Roman"/>
          <w:sz w:val="32"/>
          <w:szCs w:val="32"/>
        </w:rPr>
        <w:t>逐步构建起比较健全的农村产权流转交易体系和符合行业发展特点的监管机制，形成一套覆盖主要交易品种的标准化交易规则，探索一批健康规范可持续发展模式。</w:t>
      </w:r>
    </w:p>
    <w:p w14:paraId="3BE5E4A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default" w:ascii="楷体_GB2312" w:hAnsi="楷体_GB2312" w:eastAsia="楷体_GB2312" w:cs="楷体_GB2312"/>
          <w:sz w:val="32"/>
          <w:szCs w:val="32"/>
        </w:rPr>
        <w:t>二是抓好当前工作的具体要求。</w:t>
      </w:r>
      <w:r>
        <w:rPr>
          <w:rFonts w:hint="default" w:ascii="Times New Roman" w:hAnsi="Times New Roman" w:eastAsia="仿宋_GB2312" w:cs="Times New Roman"/>
          <w:sz w:val="32"/>
          <w:szCs w:val="32"/>
        </w:rPr>
        <w:t>铜陵市委、市政府高度重视农村集体“三资”管理和农村产权交易工作，多次文件批示和召开专题会议，研究相关事项、明确各方责任。近年，我市不断完善农村集体“三资”管理制度文件，2023年，市纪委、市委组织部等8单位联合印发《关于加强农村集体资产管理的若干意见》；2024年，市农业农村局、市财政局等8单位联合印发《铜陵市农村产权交易管理暂行办法》。同时，农村集体“三资”管理信息化平台平稳运行，但平台现有功能和持续深化农村集体“三资”管理突出问题专项整治要求不适配，对运用信息化技术加强农村集体“三资”监管的要求和目的也没有文件规定，亟需健全平台功能和相关制度，加强信息化监管水平。</w:t>
      </w:r>
    </w:p>
    <w:p w14:paraId="0A5F834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sz w:val="32"/>
          <w:szCs w:val="32"/>
          <w:lang w:val="en-US" w:eastAsia="zh-CN"/>
        </w:rPr>
      </w:pPr>
      <w:r>
        <w:rPr>
          <w:rFonts w:hint="default" w:ascii="楷体_GB2312" w:hAnsi="楷体_GB2312" w:eastAsia="楷体_GB2312" w:cs="楷体_GB2312"/>
          <w:sz w:val="32"/>
          <w:szCs w:val="32"/>
        </w:rPr>
        <w:t>三是加强信息化监管的实际要求。</w:t>
      </w:r>
      <w:r>
        <w:rPr>
          <w:rFonts w:hint="default" w:ascii="Times New Roman" w:hAnsi="Times New Roman" w:eastAsia="仿宋_GB2312" w:cs="Times New Roman"/>
          <w:sz w:val="32"/>
          <w:szCs w:val="32"/>
        </w:rPr>
        <w:t>我市建有铜陵市集体资产监督管理平台（包括财务管理、资产管理、资金管理、合同管理、预警中心五大功能）和农村综合产权交易系统（主要用于农村产权线上发布公告和竞价操作）。铜陵市集体资产监督管理平台由安徽新中大软件有限公司开发，铜陵市农村综合产权交易系统由国泰新点软件股份有限公司开发，两平台相互独立运行的，数据没有实现互联互通。对于农村产权交易是否进场交易、资产资源发包租赁经济合同的签订程序是否规范，我们主要依靠前置审查和事后监督，在事后监督上主要通过实地核查或审计为主，成本较高，覆盖面不广。如果能够将市级资产监管平台和交易平台互通，直接在资产资源发包租赁合同模块关联到对应的产权交易信息，同时，实现对应进场未进场交易设置预警，直接在线上平台对交易程序的规范性进行监管，实现集体资产监管业务由分散到集中、监管信息由孤立到共享、资产经营质效由平面到具体、监管过程由事后到实时的数字化、智能化转变。</w:t>
      </w:r>
    </w:p>
    <w:p w14:paraId="00CF359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二、起草过程</w:t>
      </w:r>
    </w:p>
    <w:p w14:paraId="7F5419B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6月12日，市纪委监委在专题调研中，提出要采取信息化手段持续提升我市农村集体“三资”监管，市农业农村局、市公共资源管理局、市公共资源交易中心等部门就打通铜陵市集体资产监督管理平台和农村综合产权交易系统提出初步设想。7月9日，市纪委监委召开农村集体“三资”管理工作座谈会，听取农业农村局汇报我市农村集体“三资”管理两个平台建设运行情况，和《关于运用信息化技术加强农村集体“三资”监管的实施意见》的起草情况。</w:t>
      </w:r>
      <w:r>
        <w:rPr>
          <w:rFonts w:hint="default" w:ascii="Times New Roman" w:hAnsi="Times New Roman" w:eastAsia="仿宋_GB2312" w:cs="Times New Roman"/>
          <w:sz w:val="32"/>
          <w:szCs w:val="32"/>
          <w:lang w:val="en-US" w:eastAsia="zh-CN"/>
        </w:rPr>
        <w:t>7月28日，市委常委、市纪委书记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市监</w:t>
      </w:r>
      <w:r>
        <w:rPr>
          <w:rFonts w:hint="eastAsia" w:ascii="Times New Roman" w:hAnsi="Times New Roman" w:eastAsia="仿宋_GB2312" w:cs="Times New Roman"/>
          <w:sz w:val="32"/>
          <w:szCs w:val="32"/>
          <w:lang w:val="en-US" w:eastAsia="zh-CN"/>
        </w:rPr>
        <w:t>委</w:t>
      </w:r>
      <w:r>
        <w:rPr>
          <w:rFonts w:hint="default" w:ascii="Times New Roman" w:hAnsi="Times New Roman" w:eastAsia="仿宋_GB2312" w:cs="Times New Roman"/>
          <w:sz w:val="32"/>
          <w:szCs w:val="32"/>
          <w:lang w:val="en-US" w:eastAsia="zh-CN"/>
        </w:rPr>
        <w:t>代理主任史学田</w:t>
      </w:r>
      <w:r>
        <w:rPr>
          <w:rFonts w:hint="eastAsia" w:ascii="Times New Roman" w:hAnsi="Times New Roman" w:eastAsia="仿宋_GB2312" w:cs="Times New Roman"/>
          <w:sz w:val="32"/>
          <w:szCs w:val="32"/>
          <w:lang w:val="en-US" w:eastAsia="zh-CN"/>
        </w:rPr>
        <w:t>听取</w:t>
      </w:r>
      <w:r>
        <w:rPr>
          <w:rFonts w:hint="default" w:ascii="Times New Roman" w:hAnsi="Times New Roman" w:eastAsia="仿宋_GB2312" w:cs="Times New Roman"/>
          <w:sz w:val="32"/>
          <w:szCs w:val="32"/>
          <w:lang w:val="en-US" w:eastAsia="zh-CN"/>
        </w:rPr>
        <w:t>专题汇报</w:t>
      </w:r>
      <w:r>
        <w:rPr>
          <w:rFonts w:hint="eastAsia" w:ascii="Times New Roman" w:hAnsi="Times New Roman" w:eastAsia="仿宋_GB2312" w:cs="Times New Roman"/>
          <w:sz w:val="32"/>
          <w:szCs w:val="32"/>
          <w:lang w:val="en-US" w:eastAsia="zh-CN"/>
        </w:rPr>
        <w:t>后，</w:t>
      </w:r>
      <w:r>
        <w:rPr>
          <w:rFonts w:hint="default" w:ascii="Times New Roman" w:hAnsi="Times New Roman" w:eastAsia="仿宋_GB2312" w:cs="Times New Roman"/>
          <w:sz w:val="32"/>
          <w:szCs w:val="32"/>
          <w:lang w:val="en-US" w:eastAsia="zh-CN"/>
        </w:rPr>
        <w:t>提出要</w:t>
      </w:r>
      <w:r>
        <w:rPr>
          <w:rFonts w:hint="eastAsia" w:ascii="Times New Roman" w:hAnsi="Times New Roman" w:eastAsia="仿宋_GB2312" w:cs="Times New Roman"/>
          <w:sz w:val="32"/>
          <w:szCs w:val="32"/>
          <w:lang w:val="en-US" w:eastAsia="zh-CN"/>
        </w:rPr>
        <w:t>在全市</w:t>
      </w:r>
      <w:r>
        <w:rPr>
          <w:rFonts w:hint="default" w:ascii="Times New Roman" w:hAnsi="Times New Roman" w:eastAsia="仿宋_GB2312" w:cs="Times New Roman"/>
          <w:sz w:val="32"/>
          <w:szCs w:val="32"/>
          <w:lang w:val="en-US" w:eastAsia="zh-CN"/>
        </w:rPr>
        <w:t>加强完善农村集体“三资”监管“四全”机制建设。</w:t>
      </w:r>
      <w:r>
        <w:rPr>
          <w:rFonts w:hint="eastAsia" w:ascii="Times New Roman" w:hAnsi="Times New Roman" w:eastAsia="仿宋_GB2312" w:cs="Times New Roman"/>
          <w:sz w:val="32"/>
          <w:szCs w:val="32"/>
          <w:lang w:val="en-US" w:eastAsia="zh-CN"/>
        </w:rPr>
        <w:t>8月11日，市委书记杨宏星在督导群众身边不正之风和腐败问题集中整治工作时，提出要加快打通数据壁垒，促进信息共享共用，抓好平台业务培训，确保干部真熟悉、群众真受益。</w:t>
      </w:r>
    </w:p>
    <w:p w14:paraId="009CDD2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主要内容</w:t>
      </w:r>
    </w:p>
    <w:p w14:paraId="5C1ED41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《意见》分为七部分，分别是总体要求、规范农村集体资金管理、规范农村集体资产管理、规范农村集体资源管理、强化信息化平台建设、提升“三资”监管水平和强化保障措施。</w:t>
      </w:r>
    </w:p>
    <w:p w14:paraId="3747174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一</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总体要求。健全农村集体资金、资产、资源管理制度，做到用制度管权、管事、管人，强化监督、加强服务，逐步形成产权明晰、权责明确、经营高效、管理民主、监督到位的管理体制和运行机制；</w:t>
      </w:r>
    </w:p>
    <w:p w14:paraId="0E5B0A4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二</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规范农村集体资金管理。从实行账户分设、加强收入管理、严格开支审批、实行预算决算、规范财务公开；</w:t>
      </w:r>
    </w:p>
    <w:p w14:paraId="1FBAF06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三</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规范农村集体资产管理。定期资产清查、建立资产台账、规范资产经营、严格资产处置；</w:t>
      </w:r>
    </w:p>
    <w:p w14:paraId="422B8B6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四</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规范农村集体资源管理。做好资源登记、规范资源发包、明确集体建设用地收益用途；</w:t>
      </w:r>
    </w:p>
    <w:p w14:paraId="0CA03FE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五</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强化信息化平台建设。完善平台功能、实现数据互通、规范产权交易；</w:t>
      </w:r>
    </w:p>
    <w:p w14:paraId="44E2EC6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六</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提升“三资”监管水平。实行委托代理、强化审计监督、强化合同管理、加强债权债务管控、规范项目管理、规范所属单位管理；</w:t>
      </w:r>
    </w:p>
    <w:p w14:paraId="789269B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七</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强化保障措施。加强组织领导、健全管理制度、加强队伍建设。</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92D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A7812">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4A7812">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1379D"/>
    <w:rsid w:val="110C1E59"/>
    <w:rsid w:val="16E22513"/>
    <w:rsid w:val="27BB17FD"/>
    <w:rsid w:val="35847960"/>
    <w:rsid w:val="53BB16E5"/>
    <w:rsid w:val="54EF499E"/>
    <w:rsid w:val="617521D5"/>
    <w:rsid w:val="67D42A36"/>
    <w:rsid w:val="6DE053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1699</Words>
  <Characters>1711</Characters>
  <Lines>0</Lines>
  <Paragraphs>0</Paragraphs>
  <TotalTime>9</TotalTime>
  <ScaleCrop>false</ScaleCrop>
  <LinksUpToDate>false</LinksUpToDate>
  <CharactersWithSpaces>1711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2025-07-20T05:00:00Z</dcterms:created>
  <dc:creator>Lenovo</dc:creator>
  <cp:lastModifiedBy>钟美云</cp:lastModifiedBy>
  <dcterms:modified xsi:type="dcterms:W3CDTF">2025-08-18T07:01:39Z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eyJoZGlkIjoiYWQ0NWU2MWE4NzFiNzEyNDcxM2JhMmVkNGEzZTRjNjkiLCJ1c2VySWQiOiI3NjU3NTY1MzcifQ==</vt:lpwstr>
  </property>
  <property fmtid="{D5CDD505-2E9C-101B-9397-08002B2CF9AE}" pid="4" name="ICV">
    <vt:lpwstr>C5FDD2327F8048D1BFEE5CE10CAEF620_12</vt:lpwstr>
  </property>
</Properties>
</file>