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F5DD5">
      <w:pPr>
        <w:keepNext w:val="0"/>
        <w:keepLines w:val="0"/>
        <w:pageBreakBefore w:val="0"/>
        <w:kinsoku/>
        <w:overflowPunct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黑体_GBK" w:cs="Times New Roman"/>
          <w:color w:val="auto"/>
          <w:kern w:val="44"/>
          <w:szCs w:val="32"/>
          <w:lang w:val="en-US" w:eastAsia="zh-CN" w:bidi="ar-SA"/>
        </w:rPr>
      </w:pPr>
      <w:bookmarkStart w:id="0" w:name="_GoBack"/>
    </w:p>
    <w:p w14:paraId="7BFC42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关于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加强完善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农村集体“三资”监管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四全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机制建设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的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实施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意见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征求意见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稿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t>）</w:t>
      </w:r>
    </w:p>
    <w:bookmarkEnd w:id="0"/>
    <w:p w14:paraId="46FA1D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</w:p>
    <w:p w14:paraId="275DE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近年来，我市坚持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以信息化平台建设为核心，着力构建了覆盖全面、功能完善、运行高效的农村集体资金、资产、资源（以下简称“三资”）管理体系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推动全市农村集体村级财务、“三资”管理和产权交易初步实现了制度化、规范化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、信息化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，取得积极成效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。</w:t>
      </w:r>
    </w:p>
    <w:p w14:paraId="1DF8F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</w:rPr>
        <w:t>进一步提升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我市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</w:rPr>
        <w:t>农村集体“三资”监管水平，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持续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</w:rPr>
        <w:t>深化农村集体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eastAsia="zh-CN"/>
        </w:rPr>
        <w:t>“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三资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eastAsia="zh-CN"/>
        </w:rPr>
        <w:t>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</w:rPr>
        <w:t>管理突出问题专项整治工作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切实维护农村集体经济组织及其成员的合法权益，促进农村基层党风廉政建设，提升乡村治理现代化水平，根据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《中华人民共和国农村集体经济组织法》《农村基层干部廉洁履行职责规定》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等法律、法规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就加强完善农村集体“三资”监管“四全”机制建设提出如下意见。</w:t>
      </w:r>
    </w:p>
    <w:p w14:paraId="14676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黑体" w:cs="Times New Roman"/>
          <w:color w:val="auto"/>
          <w:sz w:val="36"/>
          <w:szCs w:val="36"/>
        </w:rPr>
        <w:t>一、</w:t>
      </w:r>
      <w:r>
        <w:rPr>
          <w:rFonts w:hint="eastAsia" w:ascii="Times New Roman" w:hAnsi="Times New Roman" w:eastAsia="黑体" w:cs="Times New Roman"/>
          <w:color w:val="auto"/>
          <w:sz w:val="36"/>
          <w:szCs w:val="36"/>
          <w:lang w:val="en-US" w:eastAsia="zh-CN"/>
        </w:rPr>
        <w:t>目标任务</w:t>
      </w:r>
      <w:r>
        <w:rPr>
          <w:rFonts w:hint="default" w:ascii="Times New Roman" w:hAnsi="Times New Roman" w:eastAsia="黑体" w:cs="Times New Roman"/>
          <w:color w:val="auto"/>
          <w:sz w:val="36"/>
          <w:szCs w:val="36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坚持以规范管理为核心，以信息技术为支撑，以强化监督为保障，着力构建统一规范、互联互通、智能高效、监管严密的农村集体“三资”信息化综合监管体系，推动“三资”管理阳光透明、运行高效、保值增值，为发展壮大新型农村集体经济、全面推进乡村振兴提供坚实基础。</w:t>
      </w:r>
    </w:p>
    <w:p w14:paraId="5E4C7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6"/>
          <w:szCs w:val="36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color w:val="auto"/>
          <w:sz w:val="36"/>
          <w:szCs w:val="36"/>
          <w:lang w:val="en-US" w:eastAsia="zh-CN"/>
        </w:rPr>
        <w:t>主要内容</w:t>
      </w:r>
      <w:r>
        <w:rPr>
          <w:rFonts w:hint="default" w:ascii="Times New Roman" w:hAnsi="Times New Roman" w:eastAsia="黑体" w:cs="Times New Roman"/>
          <w:color w:val="auto"/>
          <w:sz w:val="36"/>
          <w:szCs w:val="36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充分运用铜陵市集体资产监督管理平台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（以下简称“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资产监管平台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”）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和铜陵市农村综合产权交易系统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（以下简称“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交易系统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”）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，打造互联互通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的农村集体“三资”信息化综合监管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体系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（以下简称“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eastAsia="zh-CN"/>
        </w:rPr>
        <w:t>综合监管体系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”）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实现农村集体“三资”管理“四个全”。</w:t>
      </w:r>
    </w:p>
    <w:p w14:paraId="3D55E8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（一）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完善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eastAsia="zh-CN"/>
        </w:rPr>
        <w:t>登记全覆盖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机制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eastAsia="zh-CN"/>
        </w:rPr>
        <w:t>。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进一步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完善基础信息库，将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所有农村集体资金、资产、资源信息全面、准确、动态录入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资产监管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平台，建立清晰完整的电子台账和空间信息库，做到应登尽登，底数清晰。</w:t>
      </w:r>
    </w:p>
    <w:p w14:paraId="01283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.夯实基础信息库。建立资源信息库，清晰界定资源位置、面积、权属、用途、承包租赁状态等信息，实现资源全域数字化登记。建立动态化资产台账，覆盖资产登记、变动、经营、处置、收益等全过程信息，确保账实相符、账账相符。</w:t>
      </w:r>
    </w:p>
    <w:p w14:paraId="16F3E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2.完善登记管理机制。实行纸质台账与电子台账同步管理、动态更新。农村集体经济组织须定期开展全面资产清查，范围涵盖各类集体资产资源及债权债务，清查结果经民主程序确认并公布后，及时录入资产监管平台。建立资产资源登记与产权交易的联动机制，确保资产资源先行登记是进行产权交易的前提条件。</w:t>
      </w:r>
    </w:p>
    <w:p w14:paraId="22D96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3.强化登记质量管控。运用信息化手段对资产登记数据进行校验比对，及时发现并预警账实不符等问题。建立线下督导机制，对登记不完整、数据质量低的单位进行重点指导和督促整改，确保登记信息真实、准确、完整。</w:t>
      </w:r>
    </w:p>
    <w:p w14:paraId="76DA4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4.实行“组账镇管”“企账镇管”。采取开通“虚拟账户”的模式加强对组级资金的管理。支持将村办企业账务、资金管理等纳入资产监管平台统一监管，县（区）可根据实际推行“企账镇管”等模式，进一步拓宽农村集体资产管理范围。</w:t>
      </w:r>
    </w:p>
    <w:p w14:paraId="3B361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（二）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完善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交易全涵盖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机制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纳入规定范围的农村产权交易项目必须通过综合监管体系公开进行，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做到应进尽进，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实现交易过程线上化、规范化、透明化。</w:t>
      </w:r>
    </w:p>
    <w:p w14:paraId="275C2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.健全交易制度体系。严格落实《铜陵市农村产权交易管理暂行办法》，健全市、县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（区）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、乡镇三级农村产权交易体系。明确农村产权交易范围，涵盖法律规定可交易的各类农村资产资源。</w:t>
      </w:r>
    </w:p>
    <w:p w14:paraId="7D5CD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明确线上交易要求。对达到规定限额标准的农村产权交易项目，必须通过交易系统进行公开、规范的线上交易。交易数据自动同步至资产监管平台，生成具有法律效力的电子合同，并更新资产资源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使用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状态。对未达到规定限额标准的交易，经集体经济组织民主决策程序后可自主交易，交易合同关键信息须完整录入资产监管平台。</w:t>
      </w:r>
    </w:p>
    <w:p w14:paraId="0AAF2C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提升平台服务、监管功能。交易系统实现在线受理、信息发布、网上竞价等全流程线上交易服务、资产监管系统实现线上签约、合同管理、价款结算等资产交易监督功能。确保资产交易全流程可追溯、可审计。</w:t>
      </w:r>
    </w:p>
    <w:p w14:paraId="490E3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8.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强化交易行为约束。对未按规定进行线上交易或未录入合同信息的项目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，或未达线上交易标准的线下交易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，综合监管体系应限制其后续操作（如无法生成电子合同、无法入账租金、无法办理产权变更），确保交易应进尽进。</w:t>
      </w:r>
    </w:p>
    <w:p w14:paraId="2359A4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（三）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完善管理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全链条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机制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对“三资”管理关键环节实施数字化、闭环式管理，覆盖登记、使用、经营、处置、收益分配全过程。</w:t>
      </w:r>
    </w:p>
    <w:p w14:paraId="60924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推广电子合同应用。全面推广使用标准化电子合同，实现在线签订、履行追踪和到期自动预警。建立合同关键信息结构化存储机制，支持合同历史数据比对。强化合同收款计划与资金管理的联动。</w:t>
      </w:r>
    </w:p>
    <w:p w14:paraId="56A0E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推行资金闭环管理。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全面推行“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银村直联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”，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实现资产监管平台与银行系统对接，支持支付指令在线生成、审批、发送及资金直接划转，交易流水自动同步回传，实现资金申请、审批、支付、核算全流程线上闭环管理。支付指令须关联具体交易项目及合同信息。</w:t>
      </w:r>
    </w:p>
    <w:p w14:paraId="39E685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11.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规范项目台账管理。建立健全统一规范的投资项目、工程项目管理台账。投资项目台账应全面动态反映项目进展、投资、支付、收益及风险。工程项目台账应覆盖项目全生命周期，重点加强对村集体出资达到一定标准的“小微工程”的登记和监管。</w:t>
      </w:r>
    </w:p>
    <w:p w14:paraId="49C81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加强项目运营监控。对以资金、资产入股的产业项目，要求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经营方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定期提供经营和财务信息，利用平台数据分析功能监控项目运营状况，动态分析资金使用、产业效益、风险预警等关键指标，为决策提供科学依据</w:t>
      </w: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。</w:t>
      </w:r>
    </w:p>
    <w:p w14:paraId="07731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（四）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完善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监督全流程</w:t>
      </w:r>
      <w:r>
        <w:rPr>
          <w:rFonts w:hint="eastAsia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机制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sz w:val="36"/>
          <w:szCs w:val="36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</w:rPr>
        <w:t>利用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综合监管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体系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</w:rPr>
        <w:t>实现对“三资”管理事前、事中、事后全过程动态监控和智能预警，操作痕迹全程留痕，监督视角贯穿业务始终。</w:t>
      </w:r>
    </w:p>
    <w:p w14:paraId="4C1C32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.实现业务全链条追溯。建立覆盖交易全流程（材料审核、过程记录、合同签署、资金结算、权属变更）和资金支付全环节（指令生成、银行流水、匹配校验）的电子化记录与追溯机制，确保操作全程留痕、可查可溯。</w:t>
      </w:r>
    </w:p>
    <w:p w14:paraId="6E17E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14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.建立智能预警机制。运用大数据分析技术，建立多维度风险预警模型，对资产闲置低效、合同履约异常（如到期未续、租金拖欠）、大额或异常资金收支、应进场未进场交易、违规操作等风险点进行智能预警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，集体经济组织需在预警开始15日内进行处理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。</w:t>
      </w:r>
    </w:p>
    <w:p w14:paraId="18762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15.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落实动态监管责任。县（区）农业农村部门须落实专人负责平台日常监管，通过平台实时掌握辖区内农村集体“三资”总量、结构、收支及处置动态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，对未按时进行预警处理的农村集体经济组织进行通报，必要时会同县（区）纪委监委实地督导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。</w:t>
      </w:r>
    </w:p>
    <w:p w14:paraId="778A9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16.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深化审计监督与公开。支持利用平台数据开展远程审计和在线抽查。依托小微权力“监督一点通”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平台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6"/>
          <w:szCs w:val="36"/>
          <w:lang w:val="en-US" w:eastAsia="zh-CN"/>
        </w:rPr>
        <w:t>依法依规、及时规范地向集体经济组织成员公开“三资”管理全链条信息，保障成员知情权、参与权和监督权。</w:t>
      </w:r>
    </w:p>
    <w:p w14:paraId="2A5E03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黑体" w:cs="Times New Roman"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6"/>
          <w:szCs w:val="36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color w:val="auto"/>
          <w:sz w:val="36"/>
          <w:szCs w:val="36"/>
        </w:rPr>
        <w:t>、保障</w:t>
      </w:r>
      <w:r>
        <w:rPr>
          <w:rFonts w:hint="default" w:ascii="Times New Roman" w:hAnsi="Times New Roman" w:eastAsia="黑体" w:cs="Times New Roman"/>
          <w:color w:val="auto"/>
          <w:sz w:val="36"/>
          <w:szCs w:val="36"/>
          <w:lang w:val="en-US" w:eastAsia="zh-CN"/>
        </w:rPr>
        <w:t>措施</w:t>
      </w:r>
    </w:p>
    <w:p w14:paraId="2A311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17.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加强组织领导。各级党委和政府要切实加强对农村集体“三资”信息化监管工作的领导。农业农村部门承担牵头抓总职责，负责平台规划、建设、推广、应用指导和监督考核。财政部门负责保障必要的运维经费。纪检监察机关要加强监督执纪问责。乡镇党（工）委、政府（办事处）要落实属地管理责任，督促指导村级组织规范使用平台，配强配齐乡镇交易站专职人员。</w:t>
      </w:r>
    </w:p>
    <w:p w14:paraId="42343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18.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加强队伍建设。分级分类开展对市、县、乡、村四级管理人员、操作人员的业务培训和技能考核，重点提升乡镇、村两级人员的平台操作能力和“三资”管理水平，打造一支懂业务、会操作、善管理的队伍。</w:t>
      </w:r>
    </w:p>
    <w:p w14:paraId="2C2B6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19.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加强制度建设。各地要依据本意见精神，结合平台功能升级，及时修订完善农村集体“三资”管理的各项规章制度，将信息化监管的要求融入制度设计，形成用制度管权、管事、管人的长效机制。</w:t>
      </w:r>
    </w:p>
    <w:p w14:paraId="496E91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Times New Roman" w:hAnsi="Times New Roman" w:eastAsia="仿宋_GB2312" w:cs="Times New Roman"/>
          <w:color w:val="auto"/>
          <w:sz w:val="36"/>
          <w:szCs w:val="36"/>
          <w:lang w:val="en-US" w:eastAsia="zh-CN"/>
        </w:rPr>
        <w:t>20.</w:t>
      </w: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加强安全防范。建立健全平台运行维护、数据安全、用户权限管理、应急处理等制度，落实网络安全等级保护要求，保障平台系统安全和数据安全，确保全流程监督的安全可靠。</w:t>
      </w:r>
    </w:p>
    <w:p w14:paraId="70B56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仿宋_GB2312" w:cs="Times New Roman"/>
          <w:color w:val="auto"/>
          <w:sz w:val="36"/>
          <w:szCs w:val="36"/>
        </w:rPr>
        <w:t>本意见自发布之日起施行。各地可结合实际制定具体实施细则。</w:t>
      </w:r>
    </w:p>
    <w:p w14:paraId="122FD432">
      <w:pPr>
        <w:keepNext w:val="0"/>
        <w:keepLines w:val="0"/>
        <w:pageBreakBefore w:val="0"/>
        <w:widowControl w:val="0"/>
        <w:pBdr>
          <w:top w:val="none" w:color="auto" w:sz="0" w:space="11"/>
          <w:bottom w:val="none" w:color="auto" w:sz="0" w:space="11"/>
        </w:pBdr>
        <w:suppressAutoHyphens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b w:val="0"/>
          <w:bCs/>
          <w:color w:val="auto"/>
          <w:kern w:val="2"/>
          <w:sz w:val="44"/>
          <w:szCs w:val="44"/>
          <w:highlight w:val="none"/>
          <w:shd w:val="clear" w:color="auto" w:fill="FFFFFF"/>
          <w:lang w:val="en-US" w:eastAsia="zh-CN" w:bidi="ar-SA"/>
        </w:rPr>
      </w:pPr>
    </w:p>
    <w:sectPr>
      <w:footerReference r:id="rId4" w:type="first"/>
      <w:footerReference r:id="rId3" w:type="default"/>
      <w:pgSz w:w="11906" w:h="16838"/>
      <w:pgMar w:top="2098" w:right="1474" w:bottom="1474" w:left="1474" w:header="851" w:footer="1417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F1751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603F2F00"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420" w:leftChars="200" w:right="420" w:rightChars="200"/>
                            <w:textAlignment w:val="auto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C9umys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603F2F00"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420" w:leftChars="200" w:right="420" w:rightChars="200"/>
                      <w:textAlignment w:val="auto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AF3EA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7FDA622C"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AYAKZW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7FDA622C">
                    <w:pPr>
                      <w:pStyle w:val="6"/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0NWU2MWE4NzFiNzEyNDcxM2JhMmVkNGEzZTRjNjkifQ=="/>
  </w:docVars>
  <w:rsids>
    <w:rsidRoot w:val="00000000"/>
    <w:rsid w:val="01490071"/>
    <w:rsid w:val="02FA25DD"/>
    <w:rsid w:val="06C26397"/>
    <w:rsid w:val="0F3D06E3"/>
    <w:rsid w:val="11971944"/>
    <w:rsid w:val="12DD6319"/>
    <w:rsid w:val="18634975"/>
    <w:rsid w:val="238629E2"/>
    <w:rsid w:val="265C71B5"/>
    <w:rsid w:val="2C11611F"/>
    <w:rsid w:val="2F1A4400"/>
    <w:rsid w:val="324B65B5"/>
    <w:rsid w:val="338642F6"/>
    <w:rsid w:val="34EA619F"/>
    <w:rsid w:val="37B715DA"/>
    <w:rsid w:val="3D6640A4"/>
    <w:rsid w:val="3EBB46F4"/>
    <w:rsid w:val="4EBE2EB6"/>
    <w:rsid w:val="50EF1E53"/>
    <w:rsid w:val="51C921F3"/>
    <w:rsid w:val="53DC5F6E"/>
    <w:rsid w:val="5441061A"/>
    <w:rsid w:val="589A2BB6"/>
    <w:rsid w:val="58CB397C"/>
    <w:rsid w:val="5A465E2D"/>
    <w:rsid w:val="5B672059"/>
    <w:rsid w:val="5C545824"/>
    <w:rsid w:val="5EC155FD"/>
    <w:rsid w:val="5FC464B7"/>
    <w:rsid w:val="622F1A8F"/>
    <w:rsid w:val="650722CD"/>
    <w:rsid w:val="689F11B0"/>
    <w:rsid w:val="6A0C3423"/>
    <w:rsid w:val="6AF635D2"/>
    <w:rsid w:val="6BD43202"/>
    <w:rsid w:val="6CFA1DAF"/>
    <w:rsid w:val="6EC81368"/>
    <w:rsid w:val="6FCE629E"/>
    <w:rsid w:val="71BE7081"/>
    <w:rsid w:val="7CBB6321"/>
    <w:rsid w:val="7CDB74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beforeAutospacing="0" w:afterAutospacing="0" w:line="600" w:lineRule="exact"/>
      <w:ind w:firstLine="800" w:firstLineChars="200"/>
      <w:outlineLvl w:val="1"/>
    </w:pPr>
    <w:rPr>
      <w:rFonts w:ascii="Arial" w:hAnsi="Arial" w:eastAsia="黑体"/>
      <w:sz w:val="32"/>
    </w:rPr>
  </w:style>
  <w:style w:type="paragraph" w:styleId="3">
    <w:name w:val="heading 3"/>
    <w:basedOn w:val="1"/>
    <w:next w:val="1"/>
    <w:link w:val="15"/>
    <w:autoRedefine/>
    <w:qFormat/>
    <w:uiPriority w:val="0"/>
    <w:pPr>
      <w:keepNext/>
      <w:keepLines/>
      <w:spacing w:beforeAutospacing="0" w:afterAutospacing="0" w:line="600" w:lineRule="exact"/>
      <w:ind w:firstLine="800" w:firstLineChars="200"/>
      <w:outlineLvl w:val="2"/>
    </w:pPr>
    <w:rPr>
      <w:rFonts w:ascii="Times New Roman" w:hAnsi="Times New Roman" w:eastAsia="楷体_GB2312"/>
      <w:b/>
      <w:sz w:val="32"/>
    </w:rPr>
  </w:style>
  <w:style w:type="paragraph" w:styleId="4">
    <w:name w:val="heading 4"/>
    <w:basedOn w:val="1"/>
    <w:next w:val="1"/>
    <w:link w:val="16"/>
    <w:autoRedefine/>
    <w:qFormat/>
    <w:uiPriority w:val="0"/>
    <w:pPr>
      <w:keepNext/>
      <w:keepLines/>
      <w:spacing w:beforeAutospacing="0" w:afterAutospacing="0" w:line="600" w:lineRule="exact"/>
      <w:ind w:firstLine="800" w:firstLineChars="200"/>
      <w:outlineLvl w:val="3"/>
    </w:pPr>
    <w:rPr>
      <w:rFonts w:ascii="Times New Roman" w:hAnsi="Times New Roman" w:eastAsia="楷体_GB2312"/>
      <w:sz w:val="32"/>
    </w:rPr>
  </w:style>
  <w:style w:type="character" w:default="1" w:styleId="11">
    <w:name w:val="Default Paragraph Font"/>
    <w:autoRedefine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autoRedefine/>
    <w:qFormat/>
    <w:uiPriority w:val="0"/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0"/>
  </w:style>
  <w:style w:type="character" w:styleId="13">
    <w:name w:val="Emphasis"/>
    <w:basedOn w:val="11"/>
    <w:autoRedefine/>
    <w:qFormat/>
    <w:uiPriority w:val="0"/>
  </w:style>
  <w:style w:type="paragraph" w:customStyle="1" w:styleId="14">
    <w:name w:val="Plain Text"/>
    <w:basedOn w:val="1"/>
    <w:autoRedefine/>
    <w:qFormat/>
    <w:uiPriority w:val="0"/>
    <w:rPr>
      <w:rFonts w:ascii="宋体" w:hAnsi="Courier New"/>
    </w:rPr>
  </w:style>
  <w:style w:type="character" w:customStyle="1" w:styleId="15">
    <w:name w:val="标题 3 Char"/>
    <w:link w:val="3"/>
    <w:autoRedefine/>
    <w:semiHidden/>
    <w:qFormat/>
    <w:uiPriority w:val="0"/>
    <w:rPr>
      <w:rFonts w:ascii="Times New Roman" w:hAnsi="Times New Roman" w:eastAsia="楷体_GB2312"/>
      <w:b/>
      <w:sz w:val="32"/>
    </w:rPr>
  </w:style>
  <w:style w:type="character" w:customStyle="1" w:styleId="16">
    <w:name w:val="标题 4 Char"/>
    <w:link w:val="4"/>
    <w:autoRedefine/>
    <w:semiHidden/>
    <w:qFormat/>
    <w:uiPriority w:val="0"/>
    <w:rPr>
      <w:rFonts w:ascii="Times New Roman" w:hAnsi="Times New Roman" w:eastAsia="楷体_GB2312"/>
      <w:sz w:val="32"/>
    </w:rPr>
  </w:style>
  <w:style w:type="paragraph" w:customStyle="1" w:styleId="17">
    <w:name w:val="Body Text First Indent"/>
    <w:basedOn w:val="5"/>
    <w:autoRedefine/>
    <w:qFormat/>
    <w:uiPriority w:val="0"/>
    <w:pPr>
      <w:ind w:firstLine="560"/>
    </w:pPr>
  </w:style>
  <w:style w:type="paragraph" w:customStyle="1" w:styleId="18">
    <w:name w:val="p0"/>
    <w:basedOn w:val="1"/>
    <w:autoRedefine/>
    <w:qFormat/>
    <w:uiPriority w:val="0"/>
    <w:pPr>
      <w:widowControl/>
    </w:pPr>
    <w:rPr>
      <w:rFonts w:ascii="宋体" w:hAnsi="宋体" w:cs="宋体"/>
      <w:kern w:val="0"/>
      <w:szCs w:val="21"/>
    </w:rPr>
  </w:style>
  <w:style w:type="character" w:customStyle="1" w:styleId="19">
    <w:name w:val="page number"/>
    <w:basedOn w:val="11"/>
    <w:autoRedefine/>
    <w:qFormat/>
    <w:uiPriority w:val="0"/>
  </w:style>
  <w:style w:type="character" w:customStyle="1" w:styleId="20">
    <w:name w:val="HTML Definition"/>
    <w:basedOn w:val="11"/>
    <w:autoRedefine/>
    <w:qFormat/>
    <w:uiPriority w:val="0"/>
  </w:style>
  <w:style w:type="character" w:customStyle="1" w:styleId="21">
    <w:name w:val="HTML Variable"/>
    <w:basedOn w:val="11"/>
    <w:autoRedefine/>
    <w:qFormat/>
    <w:uiPriority w:val="0"/>
  </w:style>
  <w:style w:type="character" w:customStyle="1" w:styleId="22">
    <w:name w:val="HTML Code"/>
    <w:basedOn w:val="11"/>
    <w:autoRedefine/>
    <w:qFormat/>
    <w:uiPriority w:val="0"/>
    <w:rPr>
      <w:rFonts w:ascii="Courier New" w:hAnsi="Courier New"/>
      <w:sz w:val="20"/>
    </w:rPr>
  </w:style>
  <w:style w:type="character" w:customStyle="1" w:styleId="23">
    <w:name w:val="HTML Cite"/>
    <w:basedOn w:val="11"/>
    <w:autoRedefine/>
    <w:qFormat/>
    <w:uiPriority w:val="0"/>
  </w:style>
  <w:style w:type="character" w:customStyle="1" w:styleId="24">
    <w:name w:val="x-tab-strip-text"/>
    <w:basedOn w:val="11"/>
    <w:autoRedefine/>
    <w:qFormat/>
    <w:uiPriority w:val="0"/>
    <w:rPr>
      <w:color w:val="15428B"/>
    </w:rPr>
  </w:style>
  <w:style w:type="character" w:customStyle="1" w:styleId="25">
    <w:name w:val="x-tab-strip-text1"/>
    <w:basedOn w:val="11"/>
    <w:autoRedefine/>
    <w:qFormat/>
    <w:uiPriority w:val="0"/>
    <w:rPr>
      <w:rFonts w:hint="eastAsia" w:ascii="宋体" w:hAnsi="宋体" w:eastAsia="宋体" w:cs="宋体"/>
      <w:color w:val="416AA3"/>
      <w:sz w:val="18"/>
      <w:szCs w:val="18"/>
    </w:rPr>
  </w:style>
  <w:style w:type="character" w:customStyle="1" w:styleId="26">
    <w:name w:val="x-tab-strip-text2"/>
    <w:basedOn w:val="11"/>
    <w:autoRedefine/>
    <w:qFormat/>
    <w:uiPriority w:val="0"/>
    <w:rPr>
      <w:b/>
      <w:bCs/>
      <w:color w:val="15428B"/>
    </w:rPr>
  </w:style>
  <w:style w:type="character" w:customStyle="1" w:styleId="27">
    <w:name w:val="x-tab-strip-text3"/>
    <w:basedOn w:val="11"/>
    <w:autoRedefine/>
    <w:qFormat/>
    <w:uiPriority w:val="0"/>
    <w:rPr>
      <w:b/>
      <w:bCs/>
      <w:color w:val="15428B"/>
    </w:rPr>
  </w:style>
  <w:style w:type="character" w:customStyle="1" w:styleId="28">
    <w:name w:val="x-tab-strip-text4"/>
    <w:basedOn w:val="11"/>
    <w:autoRedefine/>
    <w:qFormat/>
    <w:uiPriority w:val="0"/>
  </w:style>
  <w:style w:type="character" w:customStyle="1" w:styleId="29">
    <w:name w:val="x-tab-strip-text5"/>
    <w:basedOn w:val="11"/>
    <w:autoRedefine/>
    <w:qFormat/>
    <w:uiPriority w:val="0"/>
    <w:rPr>
      <w:color w:val="15428B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3304</Words>
  <Characters>3381</Characters>
  <Lines>0</Lines>
  <Paragraphs>0</Paragraphs>
  <TotalTime>1</TotalTime>
  <ScaleCrop>false</ScaleCrop>
  <LinksUpToDate>false</LinksUpToDate>
  <CharactersWithSpaces>3441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2022-01-10T02:38:00Z</dcterms:created>
  <dc:creator>Administrator.DESKTOP-0J7UV8C</dc:creator>
  <cp:lastModifiedBy>该怎么习惯</cp:lastModifiedBy>
  <cp:lastPrinted>2024-04-25T03:22:00Z</cp:lastPrinted>
  <dcterms:modified xsi:type="dcterms:W3CDTF">2025-08-18T10:47:12Z</dcterms:modified>
  <dc:title>静水流深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19CB52C6575146528D2406C1FC16248A_13</vt:lpwstr>
  </property>
  <property fmtid="{D5CDD505-2E9C-101B-9397-08002B2CF9AE}" pid="4" name="KSOTemplateDocerSaveRecord">
    <vt:lpwstr>eyJoZGlkIjoiNzIwOGU2N2RhNGYxMWIxZTM1NDc2NjZiYjRjMTNmYzIiLCJ1c2VySWQiOiIzMTk3NDg3NjAifQ==</vt:lpwstr>
  </property>
</Properties>
</file>