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EE2798">
      <w:pPr>
        <w:pStyle w:val="2"/>
        <w:widowControl/>
        <w:jc w:val="center"/>
        <w:rPr>
          <w:rFonts w:hint="default" w:ascii="Times New Roman" w:hAnsi="Times New Roman" w:eastAsia="方正小标宋简体" w:cs="Times New Roman"/>
          <w:bCs/>
          <w:spacing w:val="-8"/>
          <w:kern w:val="44"/>
          <w:sz w:val="44"/>
          <w:szCs w:val="44"/>
          <w:lang w:val="en-US" w:eastAsia="zh-CN"/>
        </w:rPr>
      </w:pPr>
      <w:r>
        <w:rPr>
          <w:rFonts w:hint="default" w:ascii="Times New Roman" w:hAnsi="Times New Roman" w:eastAsia="方正小标宋简体" w:cs="Times New Roman"/>
          <w:bCs/>
          <w:spacing w:val="-28"/>
          <w:kern w:val="44"/>
          <w:sz w:val="44"/>
          <w:szCs w:val="44"/>
          <w:lang w:val="en-US" w:eastAsia="zh-CN"/>
        </w:rPr>
        <w:t>《铜陵市鲈鱼</w:t>
      </w:r>
      <w:r>
        <w:rPr>
          <w:rFonts w:hint="eastAsia" w:eastAsia="方正小标宋简体" w:cs="Times New Roman"/>
          <w:bCs/>
          <w:spacing w:val="-28"/>
          <w:kern w:val="44"/>
          <w:sz w:val="44"/>
          <w:szCs w:val="44"/>
          <w:lang w:val="en-US" w:eastAsia="zh-CN"/>
        </w:rPr>
        <w:t>产业</w:t>
      </w:r>
      <w:r>
        <w:rPr>
          <w:rFonts w:hint="default" w:ascii="Times New Roman" w:hAnsi="Times New Roman" w:eastAsia="方正小标宋简体" w:cs="Times New Roman"/>
          <w:bCs/>
          <w:spacing w:val="-28"/>
          <w:kern w:val="44"/>
          <w:sz w:val="44"/>
          <w:szCs w:val="44"/>
          <w:lang w:val="en-US" w:eastAsia="zh-CN"/>
        </w:rPr>
        <w:t>高质量发展规划（2025-2030年）》</w:t>
      </w:r>
      <w:r>
        <w:rPr>
          <w:rFonts w:hint="eastAsia" w:eastAsia="方正小标宋简体" w:cs="Times New Roman"/>
          <w:bCs/>
          <w:spacing w:val="-28"/>
          <w:kern w:val="44"/>
          <w:sz w:val="44"/>
          <w:szCs w:val="44"/>
          <w:lang w:val="en-US" w:eastAsia="zh-CN"/>
        </w:rPr>
        <w:t>（讨论稿）</w:t>
      </w:r>
      <w:bookmarkStart w:id="0" w:name="_GoBack"/>
      <w:bookmarkEnd w:id="0"/>
      <w:r>
        <w:rPr>
          <w:rFonts w:hint="eastAsia" w:eastAsia="方正小标宋简体" w:cs="Times New Roman"/>
          <w:bCs/>
          <w:spacing w:val="-8"/>
          <w:kern w:val="44"/>
          <w:sz w:val="44"/>
          <w:szCs w:val="44"/>
          <w:lang w:val="en-US" w:eastAsia="zh-CN"/>
        </w:rPr>
        <w:t>起草说明</w:t>
      </w:r>
    </w:p>
    <w:p w14:paraId="11A22B11">
      <w:pPr>
        <w:rPr>
          <w:rFonts w:hint="default" w:ascii="Times New Roman" w:hAnsi="Times New Roman" w:cs="Times New Roman"/>
        </w:rPr>
      </w:pPr>
    </w:p>
    <w:p w14:paraId="0837036E">
      <w:pPr>
        <w:keepNext w:val="0"/>
        <w:keepLines w:val="0"/>
        <w:pageBreakBefore w:val="0"/>
        <w:numPr>
          <w:ilvl w:val="0"/>
          <w:numId w:val="0"/>
        </w:numPr>
        <w:kinsoku/>
        <w:wordWrap/>
        <w:overflowPunct/>
        <w:topLinePunct w:val="0"/>
        <w:autoSpaceDN/>
        <w:bidi w:val="0"/>
        <w:adjustRightInd/>
        <w:snapToGrid/>
        <w:spacing w:beforeAutospacing="0" w:afterAutospacing="0" w:line="590" w:lineRule="exact"/>
        <w:ind w:left="0" w:leftChars="0" w:right="0" w:rightChars="0" w:firstLine="640" w:firstLineChars="200"/>
        <w:textAlignment w:val="auto"/>
        <w:rPr>
          <w:rFonts w:hint="default" w:ascii="Times New Roman" w:hAnsi="Times New Roman" w:eastAsia="黑体" w:cs="Times New Roman"/>
          <w:sz w:val="32"/>
          <w:szCs w:val="32"/>
          <w:lang w:val="en-US" w:eastAsia="zh-CN"/>
        </w:rPr>
      </w:pPr>
      <w:r>
        <w:rPr>
          <w:rFonts w:hint="eastAsia" w:ascii="Times New Roman" w:hAnsi="Times New Roman" w:eastAsia="黑体" w:cs="Times New Roman"/>
          <w:sz w:val="32"/>
          <w:szCs w:val="32"/>
          <w:lang w:val="en-US" w:eastAsia="zh-CN"/>
        </w:rPr>
        <w:t>一、起草背景</w:t>
      </w:r>
    </w:p>
    <w:p w14:paraId="3A81C052">
      <w:pPr>
        <w:keepNext w:val="0"/>
        <w:keepLines w:val="0"/>
        <w:pageBreakBefore w:val="0"/>
        <w:widowControl/>
        <w:suppressLineNumbers w:val="0"/>
        <w:kinsoku/>
        <w:wordWrap/>
        <w:overflowPunct/>
        <w:topLinePunct w:val="0"/>
        <w:autoSpaceDN/>
        <w:bidi w:val="0"/>
        <w:adjustRightInd/>
        <w:snapToGrid/>
        <w:spacing w:beforeAutospacing="0" w:afterAutospacing="0" w:line="590" w:lineRule="exact"/>
        <w:ind w:left="0" w:leftChars="0" w:right="0" w:rightChars="0" w:firstLine="640" w:firstLineChars="200"/>
        <w:jc w:val="both"/>
        <w:textAlignment w:val="auto"/>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产业振兴是乡村振兴的重中之重。习近平总书记强调：“</w:t>
      </w:r>
      <w:r>
        <w:rPr>
          <w:rFonts w:hint="eastAsia" w:ascii="仿宋_GB2312" w:hAnsi="仿宋_GB2312" w:eastAsia="仿宋_GB2312" w:cs="仿宋_GB2312"/>
          <w:i w:val="0"/>
          <w:iCs w:val="0"/>
          <w:caps w:val="0"/>
          <w:color w:val="333333"/>
          <w:spacing w:val="0"/>
          <w:sz w:val="32"/>
          <w:szCs w:val="32"/>
          <w:shd w:val="clear" w:color="auto" w:fill="FFFFFF"/>
        </w:rPr>
        <w:t>新时代的乡村振兴，要把特色农产品和乡村旅游搞好”。</w:t>
      </w:r>
      <w:r>
        <w:rPr>
          <w:rFonts w:hint="eastAsia" w:ascii="仿宋_GB2312" w:hAnsi="仿宋_GB2312" w:eastAsia="仿宋_GB2312" w:cs="仿宋_GB2312"/>
          <w:kern w:val="2"/>
          <w:sz w:val="32"/>
          <w:szCs w:val="32"/>
          <w:lang w:val="en-US" w:eastAsia="zh-CN" w:bidi="ar"/>
        </w:rPr>
        <w:t>铜陵市地处长江中下游，水域资源丰富，气候条件适宜，发展水产养殖业具有得天独厚的自然禀赋。近年来，随着消费市场对优质水产品需求的持续增长，大口黑鲈（以下简称：鲈鱼）因其高营养价值和经济价值，逐步成为我市特色水产养殖的重要品类。然而，我市鲈鱼产业发展仍存在规模化程度不足、产业链条未形成、科技支撑薄弱、品牌影响力有限等问题，亟需进一步找准定位、理清思路、实化举措，深入挖掘鲈鱼产业的经济、社会、文化、生态、科技等多重价值，加快品牌化、产业化建设，突破发展瓶颈，推动鲈鱼产业高质量发展。</w:t>
      </w:r>
    </w:p>
    <w:p w14:paraId="23E401CA">
      <w:pPr>
        <w:keepNext w:val="0"/>
        <w:keepLines w:val="0"/>
        <w:pageBreakBefore w:val="0"/>
        <w:widowControl/>
        <w:numPr>
          <w:ilvl w:val="0"/>
          <w:numId w:val="0"/>
        </w:numPr>
        <w:suppressLineNumbers w:val="0"/>
        <w:kinsoku/>
        <w:wordWrap/>
        <w:overflowPunct/>
        <w:topLinePunct w:val="0"/>
        <w:autoSpaceDN/>
        <w:bidi w:val="0"/>
        <w:adjustRightInd/>
        <w:snapToGrid/>
        <w:spacing w:beforeAutospacing="0" w:afterAutospacing="0" w:line="590" w:lineRule="exact"/>
        <w:ind w:left="0" w:leftChars="0" w:right="0" w:rightChars="0" w:firstLine="640" w:firstLineChars="200"/>
        <w:jc w:val="both"/>
        <w:textAlignment w:val="auto"/>
        <w:rPr>
          <w:rFonts w:hint="eastAsia" w:ascii="黑体" w:hAnsi="黑体" w:eastAsia="黑体" w:cs="黑体"/>
          <w:kern w:val="2"/>
          <w:sz w:val="32"/>
          <w:szCs w:val="32"/>
          <w:lang w:val="en-US" w:eastAsia="zh-CN" w:bidi="ar"/>
        </w:rPr>
      </w:pPr>
      <w:r>
        <w:rPr>
          <w:rFonts w:hint="eastAsia" w:ascii="黑体" w:hAnsi="黑体" w:eastAsia="黑体" w:cs="黑体"/>
          <w:kern w:val="2"/>
          <w:sz w:val="32"/>
          <w:szCs w:val="32"/>
          <w:lang w:val="en-US" w:eastAsia="zh-CN" w:bidi="ar"/>
        </w:rPr>
        <w:t>二、起草过程</w:t>
      </w:r>
    </w:p>
    <w:p w14:paraId="1C7F9C93">
      <w:pPr>
        <w:keepNext w:val="0"/>
        <w:keepLines w:val="0"/>
        <w:pageBreakBefore w:val="0"/>
        <w:widowControl/>
        <w:numPr>
          <w:ilvl w:val="0"/>
          <w:numId w:val="0"/>
        </w:numPr>
        <w:suppressLineNumbers w:val="0"/>
        <w:kinsoku/>
        <w:wordWrap/>
        <w:overflowPunct/>
        <w:topLinePunct w:val="0"/>
        <w:autoSpaceDN/>
        <w:bidi w:val="0"/>
        <w:adjustRightInd/>
        <w:snapToGrid/>
        <w:spacing w:beforeAutospacing="0" w:afterAutospacing="0" w:line="590" w:lineRule="exact"/>
        <w:ind w:left="0" w:leftChars="0" w:right="0" w:rightChars="0" w:firstLine="643" w:firstLineChars="200"/>
        <w:jc w:val="both"/>
        <w:textAlignment w:val="auto"/>
        <w:rPr>
          <w:rFonts w:hint="eastAsia" w:ascii="仿宋_GB2312" w:hAnsi="仿宋_GB2312" w:eastAsia="仿宋_GB2312" w:cs="仿宋_GB2312"/>
          <w:b w:val="0"/>
          <w:bCs w:val="0"/>
          <w:kern w:val="2"/>
          <w:sz w:val="32"/>
          <w:szCs w:val="32"/>
          <w:lang w:val="en-US" w:eastAsia="zh-CN" w:bidi="ar"/>
        </w:rPr>
      </w:pPr>
      <w:r>
        <w:rPr>
          <w:rFonts w:hint="eastAsia" w:ascii="仿宋_GB2312" w:hAnsi="仿宋_GB2312" w:eastAsia="仿宋_GB2312" w:cs="仿宋_GB2312"/>
          <w:b/>
          <w:bCs/>
          <w:kern w:val="2"/>
          <w:sz w:val="32"/>
          <w:szCs w:val="32"/>
          <w:lang w:val="en-US" w:eastAsia="zh-CN" w:bidi="ar"/>
        </w:rPr>
        <w:t>一是部署准备阶段。</w:t>
      </w:r>
      <w:r>
        <w:rPr>
          <w:rFonts w:hint="eastAsia" w:ascii="仿宋_GB2312" w:hAnsi="仿宋_GB2312" w:eastAsia="仿宋_GB2312" w:cs="仿宋_GB2312"/>
          <w:b w:val="0"/>
          <w:bCs w:val="0"/>
          <w:kern w:val="2"/>
          <w:sz w:val="32"/>
          <w:szCs w:val="32"/>
          <w:lang w:val="en-US" w:eastAsia="zh-CN" w:bidi="ar"/>
        </w:rPr>
        <w:t>2024年，根据铜陵市现代农业和绿色食品产业链领导小组办公室《关于做好我市“七个一”农业特色产业规划编制有关工作的通知》文件精神，明确由义安区承担我市鲈鱼产业规划的编制牵头工作。2024年10月份通过竞争性磋商，合肥万康渔业科技有限公司获得《铜陵市鲈鱼产业高质量发展规划（2025—2030年）》（以下简称《规划》）编制任务，随后公司从专家库中挑选了4位博士、1位研究员组成专家组，明确工作方案和任务分工，启动《规划》编制工作。</w:t>
      </w:r>
    </w:p>
    <w:p w14:paraId="7FE5A293">
      <w:pPr>
        <w:keepNext w:val="0"/>
        <w:keepLines w:val="0"/>
        <w:pageBreakBefore w:val="0"/>
        <w:widowControl/>
        <w:suppressLineNumbers w:val="0"/>
        <w:kinsoku/>
        <w:wordWrap/>
        <w:overflowPunct/>
        <w:topLinePunct w:val="0"/>
        <w:autoSpaceDN/>
        <w:bidi w:val="0"/>
        <w:adjustRightInd/>
        <w:snapToGrid/>
        <w:spacing w:beforeAutospacing="0" w:afterAutospacing="0" w:line="590" w:lineRule="exact"/>
        <w:ind w:left="0" w:leftChars="0" w:right="0" w:rightChars="0" w:firstLine="643" w:firstLineChars="200"/>
        <w:jc w:val="both"/>
        <w:textAlignment w:val="auto"/>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b/>
          <w:bCs/>
          <w:kern w:val="2"/>
          <w:sz w:val="32"/>
          <w:szCs w:val="32"/>
          <w:lang w:val="en-US" w:eastAsia="zh-CN" w:bidi="ar"/>
        </w:rPr>
        <w:t>二是谋划起草阶段。</w:t>
      </w:r>
      <w:r>
        <w:rPr>
          <w:rFonts w:hint="eastAsia" w:ascii="仿宋_GB2312" w:hAnsi="仿宋_GB2312" w:eastAsia="仿宋_GB2312" w:cs="仿宋_GB2312"/>
          <w:kern w:val="2"/>
          <w:sz w:val="32"/>
          <w:szCs w:val="32"/>
          <w:lang w:val="en-US" w:eastAsia="zh-CN" w:bidi="ar"/>
        </w:rPr>
        <w:t>2024年11月-2025年2月，规划编制小组对我市鲈鱼主要养殖区的义安区和部分重点养殖企业进行了现场走访调研，开展材料收集、潜力分析以及全产业链前瞻性技术研究。2025年3月20日，市农业农村局组织召开规划编制工作交流座谈会，各县区农业农村局分管负责同志、万康渔业公司规划团队、市农业农村局有关职能科室（中心）负责人参加。会后，规划团队对各县区的渔业产业进行了调研，重点将各县区鲈鱼产业功能定位，协同推进“一条鱼”产业链融合发展的基础资料、意见建议等进行了归纳融合。</w:t>
      </w:r>
    </w:p>
    <w:p w14:paraId="1D63EF42">
      <w:pPr>
        <w:keepNext w:val="0"/>
        <w:keepLines w:val="0"/>
        <w:pageBreakBefore w:val="0"/>
        <w:numPr>
          <w:ilvl w:val="0"/>
          <w:numId w:val="0"/>
        </w:numPr>
        <w:kinsoku/>
        <w:wordWrap/>
        <w:overflowPunct/>
        <w:topLinePunct w:val="0"/>
        <w:autoSpaceDE w:val="0"/>
        <w:autoSpaceDN/>
        <w:bidi w:val="0"/>
        <w:adjustRightInd/>
        <w:snapToGrid/>
        <w:spacing w:beforeAutospacing="0" w:afterAutospacing="0" w:line="590" w:lineRule="exact"/>
        <w:ind w:left="0" w:leftChars="0" w:right="0" w:rightChars="0" w:firstLine="640" w:firstLineChars="200"/>
        <w:textAlignment w:val="auto"/>
        <w:rPr>
          <w:rFonts w:hint="default" w:ascii="Times New Roman" w:hAnsi="Times New Roman" w:eastAsia="黑体" w:cs="Times New Roman"/>
          <w:color w:val="000000"/>
          <w:sz w:val="32"/>
          <w:szCs w:val="32"/>
          <w:lang w:val="en-US" w:eastAsia="zh-CN"/>
        </w:rPr>
      </w:pPr>
      <w:r>
        <w:rPr>
          <w:rFonts w:hint="eastAsia" w:ascii="Times New Roman" w:hAnsi="Times New Roman" w:eastAsia="黑体" w:cs="Times New Roman"/>
          <w:color w:val="000000"/>
          <w:sz w:val="32"/>
          <w:szCs w:val="32"/>
          <w:lang w:val="en-US" w:eastAsia="zh-CN"/>
        </w:rPr>
        <w:t>三</w:t>
      </w:r>
      <w:r>
        <w:rPr>
          <w:rFonts w:hint="eastAsia" w:ascii="Times New Roman" w:hAnsi="Times New Roman" w:eastAsia="黑体" w:cs="Times New Roman"/>
          <w:color w:val="000000"/>
          <w:sz w:val="32"/>
          <w:szCs w:val="32"/>
          <w:lang w:eastAsia="zh-CN"/>
        </w:rPr>
        <w:t>、</w:t>
      </w:r>
      <w:r>
        <w:rPr>
          <w:rFonts w:hint="default" w:ascii="Times New Roman" w:hAnsi="Times New Roman" w:eastAsia="黑体" w:cs="Times New Roman"/>
          <w:color w:val="000000"/>
          <w:sz w:val="32"/>
          <w:szCs w:val="32"/>
        </w:rPr>
        <w:t>主要</w:t>
      </w:r>
      <w:r>
        <w:rPr>
          <w:rFonts w:hint="default" w:ascii="Times New Roman" w:hAnsi="Times New Roman" w:eastAsia="黑体" w:cs="Times New Roman"/>
          <w:color w:val="000000"/>
          <w:sz w:val="32"/>
          <w:szCs w:val="32"/>
          <w:lang w:val="en-US" w:eastAsia="zh-CN"/>
        </w:rPr>
        <w:t>特</w:t>
      </w:r>
      <w:r>
        <w:rPr>
          <w:rFonts w:hint="eastAsia" w:ascii="Times New Roman" w:hAnsi="Times New Roman" w:eastAsia="黑体" w:cs="Times New Roman"/>
          <w:color w:val="000000"/>
          <w:sz w:val="32"/>
          <w:szCs w:val="32"/>
          <w:lang w:val="en-US" w:eastAsia="zh-CN"/>
        </w:rPr>
        <w:t>点</w:t>
      </w:r>
    </w:p>
    <w:p w14:paraId="00D23D3E">
      <w:pPr>
        <w:keepNext w:val="0"/>
        <w:keepLines w:val="0"/>
        <w:pageBreakBefore w:val="0"/>
        <w:widowControl/>
        <w:shd w:val="clear" w:color="auto" w:fill="FFFFFF"/>
        <w:kinsoku/>
        <w:wordWrap/>
        <w:overflowPunct/>
        <w:topLinePunct w:val="0"/>
        <w:autoSpaceDN/>
        <w:bidi w:val="0"/>
        <w:adjustRightInd/>
        <w:snapToGrid/>
        <w:spacing w:beforeAutospacing="0" w:afterAutospacing="0" w:line="590" w:lineRule="exact"/>
        <w:ind w:left="0" w:leftChars="0" w:right="0" w:rightChars="0" w:firstLine="643"/>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lang w:val="en-US" w:eastAsia="zh-CN"/>
        </w:rPr>
        <w:t>一是构建</w:t>
      </w:r>
      <w:r>
        <w:rPr>
          <w:rFonts w:hint="eastAsia" w:ascii="仿宋_GB2312" w:hAnsi="仿宋_GB2312" w:eastAsia="仿宋_GB2312" w:cs="仿宋_GB2312"/>
          <w:b/>
          <w:bCs/>
          <w:color w:val="000000"/>
          <w:kern w:val="0"/>
          <w:sz w:val="32"/>
          <w:szCs w:val="32"/>
        </w:rPr>
        <w:t>现代化产业体系</w:t>
      </w:r>
      <w:r>
        <w:rPr>
          <w:rFonts w:hint="eastAsia" w:ascii="仿宋_GB2312" w:hAnsi="仿宋_GB2312" w:eastAsia="仿宋_GB2312" w:cs="仿宋_GB2312"/>
          <w:b/>
          <w:bCs/>
          <w:color w:val="000000"/>
          <w:kern w:val="0"/>
          <w:sz w:val="32"/>
          <w:szCs w:val="32"/>
          <w:lang w:eastAsia="zh-CN"/>
        </w:rPr>
        <w:t>，明确新思路。</w:t>
      </w:r>
      <w:r>
        <w:rPr>
          <w:rFonts w:hint="eastAsia" w:ascii="仿宋_GB2312" w:hAnsi="仿宋_GB2312" w:eastAsia="仿宋_GB2312" w:cs="仿宋_GB2312"/>
          <w:color w:val="000000"/>
          <w:kern w:val="0"/>
          <w:sz w:val="32"/>
          <w:szCs w:val="32"/>
        </w:rPr>
        <w:t>锚定“全链升级、价值倍增、国内标杆”的产业目标，以“良种繁育—生态养殖—精深加工—品牌营销—休闲文旅”为核心脉络，推动鲈鱼产业从传统资源依赖型向创新驱动型跃迁，打造中国淡水渔业高质量发展新范式。通过全链协同、跨界赋能，</w:t>
      </w:r>
      <w:r>
        <w:rPr>
          <w:rFonts w:hint="eastAsia" w:ascii="仿宋_GB2312" w:hAnsi="仿宋_GB2312" w:eastAsia="仿宋_GB2312" w:cs="仿宋_GB2312"/>
          <w:color w:val="000000"/>
          <w:kern w:val="0"/>
          <w:sz w:val="32"/>
          <w:szCs w:val="32"/>
          <w:lang w:eastAsia="zh-CN"/>
        </w:rPr>
        <w:t>实现</w:t>
      </w:r>
      <w:r>
        <w:rPr>
          <w:rFonts w:hint="eastAsia" w:ascii="仿宋_GB2312" w:hAnsi="仿宋_GB2312" w:eastAsia="仿宋_GB2312" w:cs="仿宋_GB2312"/>
          <w:color w:val="000000"/>
          <w:kern w:val="0"/>
          <w:sz w:val="32"/>
          <w:szCs w:val="32"/>
        </w:rPr>
        <w:t>铜陵鲈鱼产业从“一条鱼”到“一条链”再到“一个生态圈”的质变，促进鲈鱼产业成为引领铜陵渔业的核心引擎</w:t>
      </w:r>
      <w:r>
        <w:rPr>
          <w:rFonts w:hint="eastAsia" w:ascii="仿宋_GB2312" w:hAnsi="仿宋_GB2312" w:eastAsia="仿宋_GB2312" w:cs="仿宋_GB2312"/>
          <w:color w:val="000000"/>
          <w:kern w:val="0"/>
          <w:sz w:val="32"/>
          <w:szCs w:val="32"/>
          <w:lang w:eastAsia="zh-CN"/>
        </w:rPr>
        <w:t>，构建“科技赋能、绿色引领、跨界融合”的现代化产业体系。</w:t>
      </w:r>
      <w:r>
        <w:rPr>
          <w:rFonts w:hint="eastAsia" w:ascii="仿宋_GB2312" w:hAnsi="仿宋_GB2312" w:eastAsia="仿宋_GB2312" w:cs="仿宋_GB2312"/>
          <w:color w:val="000000"/>
          <w:sz w:val="32"/>
          <w:szCs w:val="32"/>
          <w:lang w:val="en-US" w:eastAsia="zh-CN"/>
        </w:rPr>
        <w:t xml:space="preserve">   </w:t>
      </w:r>
    </w:p>
    <w:p w14:paraId="5F49E013">
      <w:pPr>
        <w:keepNext w:val="0"/>
        <w:keepLines w:val="0"/>
        <w:pageBreakBefore w:val="0"/>
        <w:widowControl/>
        <w:shd w:val="clear" w:color="auto" w:fill="FFFFFF"/>
        <w:kinsoku/>
        <w:wordWrap/>
        <w:overflowPunct/>
        <w:topLinePunct w:val="0"/>
        <w:autoSpaceDN/>
        <w:bidi w:val="0"/>
        <w:adjustRightInd/>
        <w:snapToGrid/>
        <w:spacing w:beforeAutospacing="0" w:afterAutospacing="0" w:line="590" w:lineRule="exact"/>
        <w:ind w:left="0" w:leftChars="0" w:right="0" w:rightChars="0" w:firstLine="643"/>
        <w:textAlignment w:val="auto"/>
        <w:rPr>
          <w:rFonts w:hint="eastAsia" w:ascii="仿宋_GB2312" w:hAnsi="仿宋_GB2312" w:eastAsia="仿宋_GB2312" w:cs="仿宋_GB2312"/>
          <w:color w:val="000000"/>
          <w:kern w:val="0"/>
          <w:sz w:val="32"/>
          <w:szCs w:val="32"/>
          <w:lang w:eastAsia="zh-CN"/>
        </w:rPr>
      </w:pPr>
      <w:r>
        <w:rPr>
          <w:rFonts w:hint="eastAsia" w:ascii="仿宋_GB2312" w:hAnsi="仿宋_GB2312" w:eastAsia="仿宋_GB2312" w:cs="仿宋_GB2312"/>
          <w:b/>
          <w:sz w:val="32"/>
          <w:szCs w:val="32"/>
          <w:lang w:val="en-US" w:eastAsia="zh-CN"/>
        </w:rPr>
        <w:t>二是创建“三区一机制”，谱写新格局。</w:t>
      </w:r>
      <w:r>
        <w:rPr>
          <w:rFonts w:hint="eastAsia" w:ascii="仿宋_GB2312" w:hAnsi="仿宋_GB2312" w:eastAsia="仿宋_GB2312" w:cs="仿宋_GB2312"/>
          <w:color w:val="000000"/>
          <w:kern w:val="0"/>
          <w:sz w:val="32"/>
          <w:szCs w:val="32"/>
        </w:rPr>
        <w:t>以</w:t>
      </w:r>
      <w:r>
        <w:rPr>
          <w:rFonts w:hint="eastAsia" w:ascii="仿宋_GB2312" w:hAnsi="仿宋_GB2312" w:eastAsia="仿宋_GB2312" w:cs="仿宋_GB2312"/>
          <w:color w:val="000000"/>
          <w:kern w:val="0"/>
          <w:sz w:val="32"/>
          <w:szCs w:val="32"/>
          <w:lang w:val="en-US" w:eastAsia="zh-CN"/>
        </w:rPr>
        <w:t>义安区</w:t>
      </w:r>
      <w:r>
        <w:rPr>
          <w:rFonts w:hint="eastAsia" w:ascii="仿宋_GB2312" w:hAnsi="仿宋_GB2312" w:eastAsia="仿宋_GB2312" w:cs="仿宋_GB2312"/>
          <w:color w:val="000000"/>
          <w:kern w:val="0"/>
          <w:sz w:val="32"/>
          <w:szCs w:val="32"/>
        </w:rPr>
        <w:t>铜陵国家农业科技园区</w:t>
      </w:r>
      <w:r>
        <w:rPr>
          <w:rFonts w:hint="eastAsia" w:ascii="仿宋_GB2312" w:hAnsi="仿宋_GB2312" w:eastAsia="仿宋_GB2312" w:cs="仿宋_GB2312"/>
          <w:color w:val="000000"/>
          <w:kern w:val="0"/>
          <w:sz w:val="32"/>
          <w:szCs w:val="32"/>
          <w:lang w:val="en-US" w:eastAsia="zh-CN"/>
        </w:rPr>
        <w:t>和东湖水产养殖业集中区</w:t>
      </w:r>
      <w:r>
        <w:rPr>
          <w:rFonts w:hint="eastAsia" w:ascii="仿宋_GB2312" w:hAnsi="仿宋_GB2312" w:eastAsia="仿宋_GB2312" w:cs="仿宋_GB2312"/>
          <w:color w:val="000000"/>
          <w:kern w:val="0"/>
          <w:sz w:val="32"/>
          <w:szCs w:val="32"/>
          <w:lang w:eastAsia="zh-CN"/>
        </w:rPr>
        <w:t>为</w:t>
      </w:r>
      <w:r>
        <w:rPr>
          <w:rFonts w:hint="eastAsia" w:ascii="仿宋_GB2312" w:hAnsi="仿宋_GB2312" w:eastAsia="仿宋_GB2312" w:cs="仿宋_GB2312"/>
          <w:color w:val="000000"/>
          <w:kern w:val="0"/>
          <w:sz w:val="32"/>
          <w:szCs w:val="32"/>
          <w:lang w:val="en-US" w:eastAsia="zh-CN"/>
        </w:rPr>
        <w:t>核心</w:t>
      </w:r>
      <w:r>
        <w:rPr>
          <w:rFonts w:hint="eastAsia" w:ascii="仿宋_GB2312" w:hAnsi="仿宋_GB2312" w:eastAsia="仿宋_GB2312" w:cs="仿宋_GB2312"/>
          <w:color w:val="000000"/>
          <w:kern w:val="0"/>
          <w:sz w:val="32"/>
          <w:szCs w:val="32"/>
        </w:rPr>
        <w:t>，聚焦种业创新</w:t>
      </w:r>
      <w:r>
        <w:rPr>
          <w:rFonts w:hint="eastAsia" w:ascii="仿宋_GB2312" w:hAnsi="仿宋_GB2312" w:eastAsia="仿宋_GB2312" w:cs="仿宋_GB2312"/>
          <w:color w:val="000000"/>
          <w:kern w:val="0"/>
          <w:sz w:val="32"/>
          <w:szCs w:val="32"/>
          <w:lang w:eastAsia="zh-CN"/>
        </w:rPr>
        <w:t>、生态养殖</w:t>
      </w:r>
      <w:r>
        <w:rPr>
          <w:rFonts w:hint="eastAsia" w:ascii="仿宋_GB2312" w:hAnsi="仿宋_GB2312" w:eastAsia="仿宋_GB2312" w:cs="仿宋_GB2312"/>
          <w:color w:val="000000"/>
          <w:kern w:val="0"/>
          <w:sz w:val="32"/>
          <w:szCs w:val="32"/>
        </w:rPr>
        <w:t>与智能加工，建设铜陵鲈鱼种业研发中心、万吨级池塘生态养殖和循环水养殖基地、中央厨房预制菜基地和鲈鱼产业大数据平台</w:t>
      </w:r>
      <w:r>
        <w:rPr>
          <w:rFonts w:hint="eastAsia" w:ascii="仿宋_GB2312" w:hAnsi="仿宋_GB2312" w:eastAsia="仿宋_GB2312" w:cs="仿宋_GB2312"/>
          <w:color w:val="000000"/>
          <w:kern w:val="0"/>
          <w:sz w:val="32"/>
          <w:szCs w:val="32"/>
          <w:lang w:eastAsia="zh-CN"/>
        </w:rPr>
        <w:t>，精心打造产业“核心区”。</w:t>
      </w:r>
      <w:r>
        <w:rPr>
          <w:rFonts w:hint="eastAsia" w:ascii="仿宋_GB2312" w:hAnsi="仿宋_GB2312" w:eastAsia="仿宋_GB2312" w:cs="仿宋_GB2312"/>
          <w:color w:val="000000"/>
          <w:kern w:val="0"/>
          <w:sz w:val="32"/>
          <w:szCs w:val="32"/>
        </w:rPr>
        <w:t>以枞阳县、郊区水产养殖基地为基础，</w:t>
      </w:r>
      <w:r>
        <w:rPr>
          <w:rFonts w:hint="eastAsia" w:ascii="仿宋_GB2312" w:hAnsi="仿宋_GB2312" w:eastAsia="仿宋_GB2312" w:cs="仿宋_GB2312"/>
          <w:color w:val="000000"/>
          <w:kern w:val="0"/>
          <w:sz w:val="32"/>
          <w:szCs w:val="32"/>
          <w:lang w:val="en-US" w:eastAsia="zh-CN"/>
        </w:rPr>
        <w:t>布局打造“两翼”生态养殖示范带，</w:t>
      </w:r>
      <w:r>
        <w:rPr>
          <w:rFonts w:hint="eastAsia" w:ascii="仿宋_GB2312" w:hAnsi="仿宋_GB2312" w:eastAsia="仿宋_GB2312" w:cs="仿宋_GB2312"/>
          <w:color w:val="000000"/>
          <w:kern w:val="0"/>
          <w:sz w:val="32"/>
          <w:szCs w:val="32"/>
        </w:rPr>
        <w:t>建设“光伏+循环水”低碳养殖基地，打造江心洲绿色渔旅综合体，开发“跟着鲈鱼去旅行”乡村线路，联动大通古镇、淡水豚保护区，形成“生态养殖—加工体验—文化研学”闭环</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rPr>
        <w:t>开发铜官区矿坑设施化生态渔业，配合建设矿业遗址光影秀</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b w:val="0"/>
          <w:bCs w:val="0"/>
          <w:color w:val="000000"/>
          <w:kern w:val="0"/>
          <w:sz w:val="32"/>
          <w:szCs w:val="32"/>
          <w:lang w:eastAsia="zh-CN"/>
        </w:rPr>
        <w:t>充分延伸产业“拓展区”。</w:t>
      </w:r>
      <w:r>
        <w:rPr>
          <w:rFonts w:hint="eastAsia" w:ascii="仿宋_GB2312" w:hAnsi="仿宋_GB2312" w:eastAsia="仿宋_GB2312" w:cs="仿宋_GB2312"/>
          <w:b w:val="0"/>
          <w:bCs w:val="0"/>
          <w:color w:val="000000"/>
          <w:kern w:val="0"/>
          <w:sz w:val="32"/>
          <w:szCs w:val="32"/>
        </w:rPr>
        <w:t>以上海、南京、杭州、合肥为枢纽，组建长三角冷链物流网</w:t>
      </w:r>
      <w:r>
        <w:rPr>
          <w:rFonts w:hint="eastAsia" w:ascii="仿宋_GB2312" w:hAnsi="仿宋_GB2312" w:eastAsia="仿宋_GB2312" w:cs="仿宋_GB2312"/>
          <w:b w:val="0"/>
          <w:bCs w:val="0"/>
          <w:color w:val="000000"/>
          <w:kern w:val="0"/>
          <w:sz w:val="32"/>
          <w:szCs w:val="32"/>
          <w:lang w:eastAsia="zh-CN"/>
        </w:rPr>
        <w:t>；</w:t>
      </w:r>
      <w:r>
        <w:rPr>
          <w:rFonts w:hint="eastAsia" w:ascii="仿宋_GB2312" w:hAnsi="仿宋_GB2312" w:eastAsia="仿宋_GB2312" w:cs="仿宋_GB2312"/>
          <w:b w:val="0"/>
          <w:bCs w:val="0"/>
          <w:color w:val="000000"/>
          <w:kern w:val="0"/>
          <w:sz w:val="32"/>
          <w:szCs w:val="32"/>
        </w:rPr>
        <w:t>联合京东、阿里物流打造“鲈鱼云仓”，重构供应链体系</w:t>
      </w:r>
      <w:r>
        <w:rPr>
          <w:rFonts w:hint="eastAsia" w:ascii="仿宋_GB2312" w:hAnsi="仿宋_GB2312" w:eastAsia="仿宋_GB2312" w:cs="仿宋_GB2312"/>
          <w:b w:val="0"/>
          <w:bCs w:val="0"/>
          <w:color w:val="000000"/>
          <w:kern w:val="0"/>
          <w:sz w:val="32"/>
          <w:szCs w:val="32"/>
          <w:lang w:eastAsia="zh-CN"/>
        </w:rPr>
        <w:t>；</w:t>
      </w:r>
      <w:r>
        <w:rPr>
          <w:rFonts w:hint="eastAsia" w:ascii="仿宋_GB2312" w:hAnsi="仿宋_GB2312" w:eastAsia="仿宋_GB2312" w:cs="仿宋_GB2312"/>
          <w:color w:val="000000"/>
          <w:kern w:val="0"/>
          <w:sz w:val="32"/>
          <w:szCs w:val="32"/>
        </w:rPr>
        <w:t>应用区块链智能合约，实现长三角区域经销商自动结算、质量争议秒级仲裁，流通效率提升50%</w:t>
      </w:r>
      <w:r>
        <w:rPr>
          <w:rFonts w:hint="eastAsia" w:ascii="仿宋_GB2312" w:hAnsi="仿宋_GB2312" w:eastAsia="仿宋_GB2312" w:cs="仿宋_GB2312"/>
          <w:b w:val="0"/>
          <w:bCs w:val="0"/>
          <w:color w:val="000000"/>
          <w:kern w:val="0"/>
          <w:sz w:val="32"/>
          <w:szCs w:val="32"/>
          <w:lang w:eastAsia="zh-CN"/>
        </w:rPr>
        <w:t>，有效激活“联动区”。</w:t>
      </w:r>
      <w:r>
        <w:rPr>
          <w:rFonts w:hint="eastAsia" w:ascii="仿宋_GB2312" w:hAnsi="仿宋_GB2312" w:eastAsia="仿宋_GB2312" w:cs="仿宋_GB2312"/>
          <w:color w:val="000000"/>
          <w:kern w:val="0"/>
          <w:sz w:val="32"/>
          <w:szCs w:val="32"/>
          <w:lang w:eastAsia="zh-CN"/>
        </w:rPr>
        <w:t>以</w:t>
      </w:r>
      <w:r>
        <w:rPr>
          <w:rFonts w:hint="eastAsia" w:ascii="仿宋_GB2312" w:hAnsi="仿宋_GB2312" w:eastAsia="仿宋_GB2312" w:cs="仿宋_GB2312"/>
          <w:color w:val="000000"/>
          <w:kern w:val="0"/>
          <w:sz w:val="32"/>
          <w:szCs w:val="32"/>
        </w:rPr>
        <w:t>构建长三角鲈鱼产业大数据平台，联合上海海洋大学制定《长三角鲈鱼生态养殖技术规范》，推动三省一市互认水产品质量安全检测结果</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rPr>
        <w:t>建立铜陵鲈鱼产业协会，设立铜陵鲈鱼产业投资基金</w:t>
      </w:r>
      <w:r>
        <w:rPr>
          <w:rFonts w:hint="eastAsia" w:ascii="仿宋_GB2312" w:hAnsi="仿宋_GB2312" w:eastAsia="仿宋_GB2312" w:cs="仿宋_GB2312"/>
          <w:color w:val="000000"/>
          <w:kern w:val="0"/>
          <w:sz w:val="32"/>
          <w:szCs w:val="32"/>
          <w:lang w:eastAsia="zh-CN"/>
        </w:rPr>
        <w:t>，构建完善</w:t>
      </w:r>
      <w:r>
        <w:rPr>
          <w:rFonts w:hint="eastAsia" w:ascii="仿宋_GB2312" w:hAnsi="仿宋_GB2312" w:eastAsia="仿宋_GB2312" w:cs="仿宋_GB2312"/>
          <w:color w:val="000000"/>
          <w:kern w:val="0"/>
          <w:sz w:val="32"/>
          <w:szCs w:val="32"/>
        </w:rPr>
        <w:t>全域协同机制</w:t>
      </w:r>
      <w:r>
        <w:rPr>
          <w:rFonts w:hint="eastAsia" w:ascii="仿宋_GB2312" w:hAnsi="仿宋_GB2312" w:eastAsia="仿宋_GB2312" w:cs="仿宋_GB2312"/>
          <w:color w:val="000000"/>
          <w:kern w:val="0"/>
          <w:sz w:val="32"/>
          <w:szCs w:val="32"/>
          <w:lang w:eastAsia="zh-CN"/>
        </w:rPr>
        <w:t>，形成</w:t>
      </w:r>
      <w:r>
        <w:rPr>
          <w:rFonts w:hint="eastAsia" w:ascii="仿宋_GB2312" w:hAnsi="仿宋_GB2312" w:eastAsia="仿宋_GB2312" w:cs="仿宋_GB2312"/>
          <w:color w:val="000000"/>
          <w:kern w:val="0"/>
          <w:sz w:val="32"/>
          <w:szCs w:val="32"/>
        </w:rPr>
        <w:t>“核心引领、县区联动、全域协同”的空间战略</w:t>
      </w:r>
      <w:r>
        <w:rPr>
          <w:rFonts w:hint="eastAsia" w:ascii="仿宋_GB2312" w:hAnsi="仿宋_GB2312" w:eastAsia="仿宋_GB2312" w:cs="仿宋_GB2312"/>
          <w:color w:val="000000"/>
          <w:kern w:val="0"/>
          <w:sz w:val="32"/>
          <w:szCs w:val="32"/>
          <w:lang w:eastAsia="zh-CN"/>
        </w:rPr>
        <w:t>格局。</w:t>
      </w:r>
    </w:p>
    <w:p w14:paraId="69A15499">
      <w:pPr>
        <w:keepNext w:val="0"/>
        <w:keepLines w:val="0"/>
        <w:pageBreakBefore w:val="0"/>
        <w:widowControl/>
        <w:shd w:val="clear" w:color="auto" w:fill="FFFFFF"/>
        <w:kinsoku/>
        <w:wordWrap/>
        <w:overflowPunct/>
        <w:topLinePunct w:val="0"/>
        <w:autoSpaceDN/>
        <w:bidi w:val="0"/>
        <w:adjustRightInd/>
        <w:snapToGrid/>
        <w:spacing w:beforeAutospacing="0" w:afterAutospacing="0" w:line="590" w:lineRule="exact"/>
        <w:ind w:left="0" w:leftChars="0" w:right="0" w:rightChars="0" w:firstLine="643"/>
        <w:textAlignment w:val="auto"/>
        <w:rPr>
          <w:rFonts w:hint="eastAsia" w:ascii="仿宋_GB2312" w:hAnsi="仿宋_GB2312" w:eastAsia="仿宋_GB2312" w:cs="仿宋_GB2312"/>
          <w:color w:val="000000"/>
          <w:kern w:val="0"/>
          <w:sz w:val="32"/>
          <w:szCs w:val="32"/>
          <w:lang w:eastAsia="zh-CN"/>
        </w:rPr>
      </w:pPr>
      <w:r>
        <w:rPr>
          <w:rFonts w:hint="eastAsia" w:ascii="仿宋_GB2312" w:hAnsi="仿宋_GB2312" w:eastAsia="仿宋_GB2312" w:cs="仿宋_GB2312"/>
          <w:b/>
          <w:bCs w:val="0"/>
          <w:sz w:val="32"/>
          <w:szCs w:val="32"/>
          <w:lang w:val="en-US" w:eastAsia="zh-CN"/>
        </w:rPr>
        <w:t>三是实施</w:t>
      </w:r>
      <w:r>
        <w:rPr>
          <w:rFonts w:hint="eastAsia" w:ascii="仿宋_GB2312" w:hAnsi="仿宋_GB2312" w:eastAsia="仿宋_GB2312" w:cs="仿宋_GB2312"/>
          <w:b/>
          <w:bCs w:val="0"/>
          <w:color w:val="000000"/>
          <w:kern w:val="0"/>
          <w:sz w:val="32"/>
          <w:szCs w:val="32"/>
        </w:rPr>
        <w:t>五大</w:t>
      </w:r>
      <w:r>
        <w:rPr>
          <w:rFonts w:hint="eastAsia" w:ascii="仿宋_GB2312" w:hAnsi="仿宋_GB2312" w:eastAsia="仿宋_GB2312" w:cs="仿宋_GB2312"/>
          <w:b/>
          <w:bCs w:val="0"/>
          <w:color w:val="000000"/>
          <w:kern w:val="0"/>
          <w:sz w:val="32"/>
          <w:szCs w:val="32"/>
          <w:lang w:eastAsia="zh-CN"/>
        </w:rPr>
        <w:t>重点</w:t>
      </w:r>
      <w:r>
        <w:rPr>
          <w:rFonts w:hint="eastAsia" w:ascii="仿宋_GB2312" w:hAnsi="仿宋_GB2312" w:eastAsia="仿宋_GB2312" w:cs="仿宋_GB2312"/>
          <w:b/>
          <w:bCs w:val="0"/>
          <w:color w:val="000000"/>
          <w:kern w:val="0"/>
          <w:sz w:val="32"/>
          <w:szCs w:val="32"/>
        </w:rPr>
        <w:t>工程</w:t>
      </w:r>
      <w:r>
        <w:rPr>
          <w:rFonts w:hint="eastAsia" w:ascii="仿宋_GB2312" w:hAnsi="仿宋_GB2312" w:eastAsia="仿宋_GB2312" w:cs="仿宋_GB2312"/>
          <w:b/>
          <w:bCs w:val="0"/>
          <w:color w:val="000000"/>
          <w:kern w:val="0"/>
          <w:sz w:val="32"/>
          <w:szCs w:val="32"/>
          <w:lang w:eastAsia="zh-CN"/>
        </w:rPr>
        <w:t>，</w:t>
      </w:r>
      <w:r>
        <w:rPr>
          <w:rFonts w:hint="eastAsia" w:ascii="仿宋_GB2312" w:hAnsi="仿宋_GB2312" w:eastAsia="仿宋_GB2312" w:cs="仿宋_GB2312"/>
          <w:b/>
          <w:bCs w:val="0"/>
          <w:color w:val="000000"/>
          <w:kern w:val="0"/>
          <w:sz w:val="32"/>
          <w:szCs w:val="32"/>
          <w:lang w:val="en-US" w:eastAsia="zh-CN"/>
        </w:rPr>
        <w:t>开辟</w:t>
      </w:r>
      <w:r>
        <w:rPr>
          <w:rFonts w:hint="eastAsia" w:ascii="仿宋_GB2312" w:hAnsi="仿宋_GB2312" w:eastAsia="仿宋_GB2312" w:cs="仿宋_GB2312"/>
          <w:b/>
          <w:bCs w:val="0"/>
          <w:color w:val="000000"/>
          <w:kern w:val="0"/>
          <w:sz w:val="32"/>
          <w:szCs w:val="32"/>
          <w:lang w:eastAsia="zh-CN"/>
        </w:rPr>
        <w:t>新路径。</w:t>
      </w:r>
      <w:r>
        <w:rPr>
          <w:rFonts w:hint="eastAsia" w:ascii="仿宋_GB2312" w:hAnsi="仿宋_GB2312" w:eastAsia="仿宋_GB2312" w:cs="仿宋_GB2312"/>
          <w:b/>
          <w:bCs/>
          <w:color w:val="000000"/>
          <w:kern w:val="0"/>
          <w:sz w:val="32"/>
          <w:szCs w:val="32"/>
          <w:lang w:eastAsia="zh-CN"/>
        </w:rPr>
        <w:t>实施</w:t>
      </w:r>
      <w:r>
        <w:rPr>
          <w:rFonts w:hint="eastAsia" w:ascii="仿宋_GB2312" w:hAnsi="仿宋_GB2312" w:eastAsia="仿宋_GB2312" w:cs="仿宋_GB2312"/>
          <w:b/>
          <w:bCs/>
          <w:color w:val="000000"/>
          <w:kern w:val="0"/>
          <w:sz w:val="32"/>
          <w:szCs w:val="32"/>
        </w:rPr>
        <w:t>种业提升工</w:t>
      </w:r>
    </w:p>
    <w:p w14:paraId="5CDD4DD0">
      <w:pPr>
        <w:keepNext w:val="0"/>
        <w:keepLines w:val="0"/>
        <w:widowControl/>
        <w:suppressLineNumbers w:val="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b/>
          <w:bCs/>
          <w:color w:val="000000"/>
          <w:kern w:val="0"/>
          <w:sz w:val="32"/>
          <w:szCs w:val="32"/>
        </w:rPr>
        <w:t>程</w:t>
      </w:r>
      <w:r>
        <w:rPr>
          <w:rFonts w:hint="eastAsia" w:ascii="仿宋_GB2312" w:hAnsi="仿宋_GB2312" w:eastAsia="仿宋_GB2312" w:cs="仿宋_GB2312"/>
          <w:b/>
          <w:bCs/>
          <w:color w:val="000000"/>
          <w:kern w:val="0"/>
          <w:sz w:val="32"/>
          <w:szCs w:val="32"/>
          <w:lang w:eastAsia="zh-CN"/>
        </w:rPr>
        <w:t>，</w:t>
      </w:r>
      <w:r>
        <w:rPr>
          <w:rFonts w:hint="eastAsia" w:ascii="仿宋_GB2312" w:hAnsi="仿宋_GB2312" w:eastAsia="仿宋_GB2312" w:cs="仿宋_GB2312"/>
          <w:color w:val="000000"/>
          <w:kern w:val="0"/>
          <w:sz w:val="32"/>
          <w:szCs w:val="32"/>
        </w:rPr>
        <w:t>围绕“种质保源—育种攻坚—智能育繁—饲料革命”全链布局，打造国家级鲈鱼种业硅谷，突破种源“卡脖子”瓶颈，实现“中国鲈鱼芯·铜陵造”战略目标。</w:t>
      </w:r>
      <w:r>
        <w:rPr>
          <w:rFonts w:hint="eastAsia" w:ascii="仿宋_GB2312" w:hAnsi="仿宋_GB2312" w:eastAsia="仿宋_GB2312" w:cs="仿宋_GB2312"/>
          <w:b/>
          <w:bCs/>
          <w:color w:val="000000"/>
          <w:kern w:val="0"/>
          <w:sz w:val="32"/>
          <w:szCs w:val="32"/>
          <w:lang w:eastAsia="zh-CN"/>
        </w:rPr>
        <w:t>实施</w:t>
      </w:r>
      <w:r>
        <w:rPr>
          <w:rFonts w:hint="eastAsia" w:ascii="仿宋_GB2312" w:hAnsi="仿宋_GB2312" w:eastAsia="仿宋_GB2312" w:cs="仿宋_GB2312"/>
          <w:b/>
          <w:bCs/>
          <w:color w:val="000000"/>
          <w:kern w:val="0"/>
          <w:sz w:val="32"/>
          <w:szCs w:val="32"/>
        </w:rPr>
        <w:t>绿色养殖升级工程</w:t>
      </w:r>
      <w:r>
        <w:rPr>
          <w:rFonts w:hint="eastAsia" w:ascii="仿宋_GB2312" w:hAnsi="仿宋_GB2312" w:eastAsia="仿宋_GB2312" w:cs="仿宋_GB2312"/>
          <w:b/>
          <w:bCs/>
          <w:color w:val="000000"/>
          <w:kern w:val="0"/>
          <w:sz w:val="32"/>
          <w:szCs w:val="32"/>
          <w:lang w:eastAsia="zh-CN"/>
        </w:rPr>
        <w:t>，</w:t>
      </w:r>
      <w:r>
        <w:rPr>
          <w:rFonts w:hint="eastAsia" w:ascii="仿宋_GB2312" w:hAnsi="仿宋_GB2312" w:eastAsia="仿宋_GB2312" w:cs="仿宋_GB2312"/>
          <w:color w:val="000000"/>
          <w:kern w:val="0"/>
          <w:sz w:val="32"/>
          <w:szCs w:val="32"/>
        </w:rPr>
        <w:t>以“设施革新、技术攻坚、数智融合”为核心路径，构建池塘生态养殖零污染、设施养殖全循环的高效益现代化养殖体系，推动铜陵鲈鱼产业从“规模扩张”向“质量跃升”转型，定型铜陵生态养殖业新范式。</w:t>
      </w:r>
      <w:r>
        <w:rPr>
          <w:rFonts w:hint="eastAsia" w:ascii="仿宋_GB2312" w:hAnsi="仿宋_GB2312" w:eastAsia="仿宋_GB2312" w:cs="仿宋_GB2312"/>
          <w:b/>
          <w:bCs/>
          <w:color w:val="000000"/>
          <w:kern w:val="0"/>
          <w:sz w:val="32"/>
          <w:szCs w:val="32"/>
          <w:lang w:eastAsia="zh-CN"/>
        </w:rPr>
        <w:t>实施</w:t>
      </w:r>
      <w:r>
        <w:rPr>
          <w:rFonts w:hint="eastAsia" w:ascii="仿宋_GB2312" w:hAnsi="仿宋_GB2312" w:eastAsia="仿宋_GB2312" w:cs="仿宋_GB2312"/>
          <w:b/>
          <w:bCs/>
          <w:color w:val="000000"/>
          <w:kern w:val="0"/>
          <w:sz w:val="32"/>
          <w:szCs w:val="32"/>
        </w:rPr>
        <w:t>加工增值转化工程，</w:t>
      </w:r>
      <w:r>
        <w:rPr>
          <w:rFonts w:hint="eastAsia" w:ascii="仿宋_GB2312" w:hAnsi="仿宋_GB2312" w:eastAsia="仿宋_GB2312" w:cs="仿宋_GB2312"/>
          <w:color w:val="000000"/>
          <w:kern w:val="0"/>
          <w:sz w:val="32"/>
          <w:szCs w:val="32"/>
          <w:lang w:eastAsia="zh-CN"/>
        </w:rPr>
        <w:t>以</w:t>
      </w:r>
      <w:r>
        <w:rPr>
          <w:rFonts w:hint="eastAsia" w:ascii="仿宋_GB2312" w:hAnsi="仿宋_GB2312" w:eastAsia="仿宋_GB2312" w:cs="仿宋_GB2312"/>
          <w:color w:val="000000"/>
          <w:kern w:val="0"/>
          <w:sz w:val="32"/>
          <w:szCs w:val="32"/>
        </w:rPr>
        <w:t>市高新技术开发区</w:t>
      </w:r>
      <w:r>
        <w:rPr>
          <w:rFonts w:hint="eastAsia" w:ascii="仿宋_GB2312" w:hAnsi="仿宋_GB2312" w:eastAsia="仿宋_GB2312" w:cs="仿宋_GB2312"/>
          <w:color w:val="000000"/>
          <w:kern w:val="0"/>
          <w:sz w:val="32"/>
          <w:szCs w:val="32"/>
          <w:lang w:eastAsia="zh-CN"/>
        </w:rPr>
        <w:t>为主要基地，</w:t>
      </w:r>
      <w:r>
        <w:rPr>
          <w:rFonts w:hint="eastAsia" w:ascii="仿宋_GB2312" w:hAnsi="仿宋_GB2312" w:eastAsia="仿宋_GB2312" w:cs="仿宋_GB2312"/>
          <w:color w:val="000000"/>
          <w:kern w:val="0"/>
          <w:sz w:val="32"/>
          <w:szCs w:val="32"/>
        </w:rPr>
        <w:t>重塑鲈鱼产业价值链，构建“从实验室到餐桌、从原料到终端、从区域到全国”的供应链体系，实现鲈鱼加工“零废弃、高增值、可持续”。</w:t>
      </w:r>
      <w:r>
        <w:rPr>
          <w:rFonts w:hint="eastAsia" w:ascii="仿宋_GB2312" w:hAnsi="仿宋_GB2312" w:eastAsia="仿宋_GB2312" w:cs="仿宋_GB2312"/>
          <w:b/>
          <w:bCs/>
          <w:color w:val="000000"/>
          <w:kern w:val="0"/>
          <w:sz w:val="32"/>
          <w:szCs w:val="32"/>
          <w:lang w:eastAsia="zh-CN"/>
        </w:rPr>
        <w:t>实施</w:t>
      </w:r>
      <w:r>
        <w:rPr>
          <w:rFonts w:hint="eastAsia" w:ascii="仿宋_GB2312" w:hAnsi="仿宋_GB2312" w:eastAsia="仿宋_GB2312" w:cs="仿宋_GB2312"/>
          <w:b/>
          <w:bCs/>
          <w:color w:val="000000"/>
          <w:kern w:val="0"/>
          <w:sz w:val="32"/>
          <w:szCs w:val="32"/>
        </w:rPr>
        <w:t>品牌升级与营销工程</w:t>
      </w:r>
      <w:r>
        <w:rPr>
          <w:rFonts w:hint="eastAsia" w:ascii="仿宋_GB2312" w:hAnsi="仿宋_GB2312" w:eastAsia="仿宋_GB2312" w:cs="仿宋_GB2312"/>
          <w:b/>
          <w:bCs/>
          <w:color w:val="000000"/>
          <w:kern w:val="0"/>
          <w:sz w:val="32"/>
          <w:szCs w:val="32"/>
          <w:lang w:eastAsia="zh-CN"/>
        </w:rPr>
        <w:t>，</w:t>
      </w:r>
      <w:r>
        <w:rPr>
          <w:rFonts w:hint="eastAsia" w:ascii="仿宋_GB2312" w:hAnsi="仿宋_GB2312" w:eastAsia="仿宋_GB2312" w:cs="仿宋_GB2312"/>
          <w:color w:val="000000"/>
          <w:sz w:val="32"/>
          <w:szCs w:val="32"/>
        </w:rPr>
        <w:t>培育打响“铜</w:t>
      </w:r>
      <w:r>
        <w:rPr>
          <w:rFonts w:hint="eastAsia" w:ascii="仿宋_GB2312" w:hAnsi="仿宋_GB2312" w:eastAsia="仿宋_GB2312" w:cs="仿宋_GB2312"/>
          <w:color w:val="000000"/>
          <w:sz w:val="32"/>
          <w:szCs w:val="32"/>
          <w:lang w:val="en-US" w:eastAsia="zh-CN"/>
        </w:rPr>
        <w:t>都</w:t>
      </w:r>
      <w:r>
        <w:rPr>
          <w:rFonts w:hint="eastAsia" w:ascii="仿宋_GB2312" w:hAnsi="仿宋_GB2312" w:eastAsia="仿宋_GB2312" w:cs="仿宋_GB2312"/>
          <w:color w:val="000000"/>
          <w:sz w:val="32"/>
          <w:szCs w:val="32"/>
        </w:rPr>
        <w:t>香鲈”区域公用品牌，规范品牌授权管理和产权保护，构建区域公用品牌为引领、企业品牌为主体、产品品牌为基础的铜陵鲈鱼产业品牌矩阵。</w:t>
      </w:r>
      <w:r>
        <w:rPr>
          <w:rFonts w:hint="eastAsia" w:ascii="仿宋_GB2312" w:hAnsi="仿宋_GB2312" w:eastAsia="仿宋_GB2312" w:cs="仿宋_GB2312"/>
          <w:b/>
          <w:bCs/>
          <w:color w:val="000000"/>
          <w:sz w:val="32"/>
          <w:szCs w:val="32"/>
          <w:lang w:eastAsia="zh-CN"/>
        </w:rPr>
        <w:t>实施</w:t>
      </w:r>
      <w:r>
        <w:rPr>
          <w:rFonts w:hint="eastAsia" w:ascii="仿宋_GB2312" w:hAnsi="仿宋_GB2312" w:eastAsia="仿宋_GB2312" w:cs="仿宋_GB2312"/>
          <w:b/>
          <w:bCs/>
          <w:color w:val="000000"/>
          <w:sz w:val="32"/>
          <w:szCs w:val="32"/>
        </w:rPr>
        <w:t>三产融合创新工程</w:t>
      </w:r>
      <w:r>
        <w:rPr>
          <w:rFonts w:hint="eastAsia" w:ascii="仿宋_GB2312" w:hAnsi="仿宋_GB2312" w:eastAsia="仿宋_GB2312" w:cs="仿宋_GB2312"/>
          <w:b/>
          <w:bCs/>
          <w:color w:val="000000"/>
          <w:sz w:val="32"/>
          <w:szCs w:val="32"/>
          <w:lang w:eastAsia="zh-CN"/>
        </w:rPr>
        <w:t>，</w:t>
      </w:r>
      <w:r>
        <w:rPr>
          <w:rFonts w:hint="eastAsia" w:ascii="仿宋_GB2312" w:hAnsi="仿宋_GB2312" w:eastAsia="仿宋_GB2312" w:cs="仿宋_GB2312"/>
          <w:color w:val="000000"/>
          <w:sz w:val="32"/>
          <w:szCs w:val="32"/>
        </w:rPr>
        <w:t>在义安区</w:t>
      </w:r>
      <w:r>
        <w:rPr>
          <w:rFonts w:hint="eastAsia" w:ascii="仿宋_GB2312" w:hAnsi="仿宋_GB2312" w:eastAsia="仿宋_GB2312" w:cs="仿宋_GB2312"/>
          <w:color w:val="000000"/>
          <w:sz w:val="32"/>
          <w:szCs w:val="32"/>
          <w:lang w:val="en-US" w:eastAsia="zh-CN"/>
        </w:rPr>
        <w:t>铜陵国家农业科技园区</w:t>
      </w:r>
      <w:r>
        <w:rPr>
          <w:rFonts w:hint="eastAsia" w:ascii="仿宋_GB2312" w:hAnsi="仿宋_GB2312" w:eastAsia="仿宋_GB2312" w:cs="仿宋_GB2312"/>
          <w:color w:val="000000"/>
          <w:sz w:val="32"/>
          <w:szCs w:val="32"/>
        </w:rPr>
        <w:t>建设铜陵鲈鱼文化博览园，在郊区江心洲建设循环水养殖科技展馆、鲈鱼基因解码互动体验区，在郊区大通镇建设生态垂钓和体育垂钓区，利用铜官山矿坑遗址打造矿坑光影渔旅综合体，</w:t>
      </w:r>
      <w:r>
        <w:rPr>
          <w:rFonts w:hint="eastAsia" w:ascii="仿宋_GB2312" w:hAnsi="仿宋_GB2312" w:eastAsia="仿宋_GB2312" w:cs="仿宋_GB2312"/>
          <w:color w:val="000000"/>
          <w:sz w:val="32"/>
          <w:szCs w:val="32"/>
          <w:lang w:eastAsia="zh-CN"/>
        </w:rPr>
        <w:t>力争</w:t>
      </w:r>
      <w:r>
        <w:rPr>
          <w:rFonts w:hint="eastAsia" w:ascii="仿宋_GB2312" w:hAnsi="仿宋_GB2312" w:eastAsia="仿宋_GB2312" w:cs="仿宋_GB2312"/>
          <w:color w:val="000000"/>
          <w:sz w:val="32"/>
          <w:szCs w:val="32"/>
        </w:rPr>
        <w:t>举办年度全国鲈鱼产业峰会，发布《全国鲈鱼产业发展报告》，设立鲈鱼“铜陵指数”定价基准。</w:t>
      </w:r>
    </w:p>
    <w:p w14:paraId="675818C3"/>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0F395">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C2F5C4">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DC2F5C4">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D30614"/>
    <w:rsid w:val="0E010CC3"/>
    <w:rsid w:val="13F31781"/>
    <w:rsid w:val="189D311F"/>
    <w:rsid w:val="1D4209B0"/>
    <w:rsid w:val="211F1734"/>
    <w:rsid w:val="22233297"/>
    <w:rsid w:val="2E644C2A"/>
    <w:rsid w:val="375031D5"/>
    <w:rsid w:val="39DB4726"/>
    <w:rsid w:val="39E00D39"/>
    <w:rsid w:val="3E952BDE"/>
    <w:rsid w:val="40B97058"/>
    <w:rsid w:val="41482DC6"/>
    <w:rsid w:val="42154762"/>
    <w:rsid w:val="45616C2B"/>
    <w:rsid w:val="46A76A33"/>
    <w:rsid w:val="47B70069"/>
    <w:rsid w:val="4CB53703"/>
    <w:rsid w:val="50DA1089"/>
    <w:rsid w:val="59835FFD"/>
    <w:rsid w:val="5CB319A8"/>
    <w:rsid w:val="6A2C2168"/>
    <w:rsid w:val="6DF66217"/>
    <w:rsid w:val="71AD03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next w:val="1"/>
    <w:qFormat/>
    <w:uiPriority w:val="0"/>
    <w:pPr>
      <w:keepNext/>
      <w:keepLines/>
      <w:spacing w:line="600" w:lineRule="exact"/>
      <w:ind w:firstLine="0" w:firstLineChars="0"/>
      <w:jc w:val="center"/>
      <w:outlineLvl w:val="0"/>
    </w:pPr>
    <w:rPr>
      <w:rFonts w:ascii="Times New Roman" w:hAnsi="Times New Roman" w:eastAsia="仿宋_GB2312" w:cs="黑体"/>
      <w:bCs/>
      <w:kern w:val="44"/>
      <w:sz w:val="32"/>
      <w:szCs w:val="4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2118</Words>
  <Characters>2161</Characters>
  <Lines>0</Lines>
  <Paragraphs>0</Paragraphs>
  <TotalTime>10</TotalTime>
  <ScaleCrop>false</ScaleCrop>
  <LinksUpToDate>false</LinksUpToDate>
  <CharactersWithSpaces>2164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2025-06-21T17:12:00Z</dcterms:created>
  <dc:creator>NW</dc:creator>
  <cp:lastModifiedBy>该怎么习惯</cp:lastModifiedBy>
  <cp:lastPrinted>2025-07-09T09:52:00Z</cp:lastPrinted>
  <dcterms:modified xsi:type="dcterms:W3CDTF">2025-07-22T06:53:42Z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eyJoZGlkIjoiNzIwOGU2N2RhNGYxMWIxZTM1NDc2NjZiYjRjMTNmYzIiLCJ1c2VySWQiOiIzMTk3NDg3NjAifQ==</vt:lpwstr>
  </property>
  <property fmtid="{D5CDD505-2E9C-101B-9397-08002B2CF9AE}" pid="4" name="ICV">
    <vt:lpwstr>FD2FD26C510F4A84B627F22032832E5D_13</vt:lpwstr>
  </property>
</Properties>
</file>