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626C60">
      <w:pPr>
        <w:keepNext w:val="0"/>
        <w:keepLines w:val="0"/>
        <w:pageBreakBefore w:val="0"/>
        <w:widowControl w:val="0"/>
        <w:suppressAutoHyphens w:val="0"/>
        <w:kinsoku/>
        <w:overflowPunct/>
        <w:autoSpaceDE/>
        <w:autoSpaceDN/>
        <w:bidi w:val="0"/>
        <w:spacing w:line="560" w:lineRule="exact"/>
        <w:ind w:firstLine="0" w:firstLineChars="0"/>
        <w:jc w:val="center"/>
        <w:textAlignment w:val="auto"/>
        <w:rPr>
          <w:rFonts w:hint="default" w:ascii="Times New Roman" w:hAnsi="Times New Roman" w:eastAsia="方正小标宋简体" w:cs="Times New Roman"/>
          <w:color w:val="auto"/>
          <w:kern w:val="0"/>
          <w:sz w:val="44"/>
          <w:szCs w:val="44"/>
          <w:lang w:val="en-US" w:eastAsia="zh-CN" w:bidi="ar-SA"/>
        </w:rPr>
      </w:pPr>
      <w:bookmarkStart w:id="0" w:name="_GoBack"/>
      <w:r>
        <w:rPr>
          <w:rFonts w:hint="eastAsia" w:ascii="Times New Roman" w:hAnsi="Times New Roman" w:eastAsia="方正小标宋简体" w:cs="Times New Roman"/>
          <w:color w:val="auto"/>
          <w:kern w:val="0"/>
          <w:sz w:val="44"/>
          <w:szCs w:val="44"/>
          <w:lang w:val="en-US" w:eastAsia="zh-CN" w:bidi="ar-SA"/>
        </w:rPr>
        <w:t>《铜陵市农村产权交易管理暂行办法（征求意见稿）》的起草说明</w:t>
      </w:r>
    </w:p>
    <w:p w14:paraId="3455111E">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jc w:val="both"/>
        <w:textAlignment w:val="auto"/>
        <w:rPr>
          <w:rFonts w:hint="default" w:ascii="Times New Roman" w:hAnsi="Times New Roman" w:eastAsia="仿宋_GB2312" w:cs="Times New Roman"/>
          <w:b w:val="0"/>
          <w:bCs w:val="0"/>
          <w:color w:val="auto"/>
          <w:spacing w:val="6"/>
          <w:kern w:val="2"/>
          <w:sz w:val="32"/>
          <w:szCs w:val="32"/>
          <w:lang w:val="en-US" w:eastAsia="zh-CN" w:bidi="ar-SA"/>
        </w:rPr>
      </w:pPr>
    </w:p>
    <w:p w14:paraId="0DEBCF66">
      <w:pPr>
        <w:keepNext w:val="0"/>
        <w:keepLines w:val="0"/>
        <w:pageBreakBefore w:val="0"/>
        <w:widowControl w:val="0"/>
        <w:numPr>
          <w:ilvl w:val="0"/>
          <w:numId w:val="0"/>
        </w:numPr>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方正黑体_GBK" w:cs="Times New Roman"/>
          <w:b w:val="0"/>
          <w:bCs w:val="0"/>
          <w:color w:val="auto"/>
          <w:kern w:val="2"/>
          <w:sz w:val="32"/>
          <w:szCs w:val="32"/>
          <w:lang w:val="en-US" w:eastAsia="zh-CN" w:bidi="ar-SA"/>
        </w:rPr>
      </w:pPr>
      <w:r>
        <w:rPr>
          <w:rFonts w:hint="default" w:ascii="Times New Roman" w:hAnsi="Times New Roman" w:eastAsia="方正黑体_GBK" w:cs="Times New Roman"/>
          <w:b w:val="0"/>
          <w:bCs w:val="0"/>
          <w:color w:val="auto"/>
          <w:kern w:val="2"/>
          <w:sz w:val="32"/>
          <w:szCs w:val="32"/>
          <w:lang w:val="en-US" w:eastAsia="zh-CN" w:bidi="ar-SA"/>
        </w:rPr>
        <w:t>一、起草背景</w:t>
      </w:r>
    </w:p>
    <w:p w14:paraId="62428FA9">
      <w:pPr>
        <w:keepNext w:val="0"/>
        <w:keepLines w:val="0"/>
        <w:pageBreakBefore w:val="0"/>
        <w:widowControl w:val="0"/>
        <w:numPr>
          <w:ilvl w:val="0"/>
          <w:numId w:val="0"/>
        </w:numPr>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3"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shd w:val="clear" w:color="auto" w:fill="FFFFFF"/>
          <w:lang w:val="en-US" w:eastAsia="zh-CN" w:bidi="ar-SA"/>
        </w:rPr>
        <w:t>一是落实国家政策的必然要求。</w:t>
      </w:r>
      <w:r>
        <w:rPr>
          <w:rFonts w:hint="default" w:ascii="Times New Roman" w:hAnsi="Times New Roman" w:eastAsia="仿宋_GB2312" w:cs="Times New Roman"/>
          <w:b w:val="0"/>
          <w:bCs w:val="0"/>
          <w:color w:val="auto"/>
          <w:kern w:val="2"/>
          <w:sz w:val="32"/>
          <w:szCs w:val="32"/>
          <w:lang w:val="en-US" w:eastAsia="zh-CN" w:bidi="ar-SA"/>
        </w:rPr>
        <w:t>2014年国务院办公厅《关于引导农村产权流转交易市场健康发展的意见》（国办发〔2014〕71号）指出：各地农村产权流转交易市场发展不平衡，其设立、运行、监管有待规范。引导农村产权流转交易市场健康发展，事关农村改革发展稳定大局，有利于保障农民和农村集体经济组织的财产权益，有利于提高农村要素资源配置和利用效率，有利于加快推进农业现代化。2022年中央一号文件提出：抓好农村改革重点任务落实，探索建立农村集体资产监督管理服务体系，开展农村产权流转交易市场规范化建设试点。《关于印发〈农村产权流转交易规范化试点工作方案〉的通知》（农政改发〔2023〕1号）指出：2023年启动试点工作，试点期为2023—2024年，争取通过2年的努力，试点地区逐步构建起比较健全的农村产权流转交易体系和符合行业发展特点的监管机制，形成一套覆盖主要交易品种的标准化交易规则，探索一批健康规范可持续发展模式。我省滁州市作为国家试点市正在推进农村产权流转交易市场规范化建设。建设农村产权流转交易市场，规范农村产权交易，是深化农村产权制度改革和加强农村集体“三资”管理的必然要求，是推进现代农业发展和乡村振兴的重要举措。</w:t>
      </w:r>
    </w:p>
    <w:p w14:paraId="164580EA">
      <w:pPr>
        <w:keepNext w:val="0"/>
        <w:keepLines w:val="0"/>
        <w:pageBreakBefore w:val="0"/>
        <w:widowControl w:val="0"/>
        <w:numPr>
          <w:ilvl w:val="0"/>
          <w:numId w:val="0"/>
        </w:numPr>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3"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楷体_GB2312" w:hAnsi="楷体_GB2312" w:eastAsia="楷体_GB2312" w:cs="楷体_GB2312"/>
          <w:b/>
          <w:bCs/>
          <w:color w:val="auto"/>
          <w:kern w:val="2"/>
          <w:sz w:val="32"/>
          <w:szCs w:val="32"/>
          <w:shd w:val="clear" w:color="auto" w:fill="FFFFFF"/>
          <w:lang w:val="en-US" w:eastAsia="zh-CN" w:bidi="ar-SA"/>
        </w:rPr>
        <w:t>二是抓好当前工作的具体要求。</w:t>
      </w:r>
      <w:r>
        <w:rPr>
          <w:rFonts w:hint="default" w:ascii="Times New Roman" w:hAnsi="Times New Roman" w:eastAsia="仿宋_GB2312" w:cs="Times New Roman"/>
          <w:b w:val="0"/>
          <w:bCs w:val="0"/>
          <w:color w:val="auto"/>
          <w:kern w:val="2"/>
          <w:sz w:val="32"/>
          <w:szCs w:val="32"/>
          <w:lang w:val="en-US" w:eastAsia="zh-CN" w:bidi="ar-SA"/>
        </w:rPr>
        <w:t>铜陵市委、市政府高度重视农村产权交易工作，多次召开会议，明确各方责任。原市级管理办法《铜陵市农村产权交易管理暂行办法》（铜政办〔2014〕45号）有效期已于2019年结束，我市农村产权交易主要依据是市公管局出台的《铜陵市公共资源交易目录》，实际操作中存在管理办法不健全、进场交易不规范、交易机构不完善等各种问题。现亟需结合我市实际，出台农村产权交易管理办法，规范农村产权交易行为。</w:t>
      </w:r>
    </w:p>
    <w:p w14:paraId="402C7064">
      <w:pPr>
        <w:keepNext w:val="0"/>
        <w:keepLines w:val="0"/>
        <w:pageBreakBefore w:val="0"/>
        <w:widowControl w:val="0"/>
        <w:numPr>
          <w:ilvl w:val="0"/>
          <w:numId w:val="0"/>
        </w:numPr>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3"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楷体_GB2312" w:hAnsi="楷体_GB2312" w:eastAsia="楷体_GB2312" w:cs="楷体_GB2312"/>
          <w:b/>
          <w:bCs/>
          <w:color w:val="auto"/>
          <w:kern w:val="2"/>
          <w:sz w:val="32"/>
          <w:szCs w:val="32"/>
          <w:shd w:val="clear" w:color="auto" w:fill="FFFFFF"/>
          <w:lang w:val="en-US" w:eastAsia="zh-CN" w:bidi="ar-SA"/>
        </w:rPr>
        <w:t>三是改善交易现状的实际要求。</w:t>
      </w:r>
      <w:r>
        <w:rPr>
          <w:rFonts w:hint="default" w:ascii="Times New Roman" w:hAnsi="Times New Roman" w:eastAsia="仿宋_GB2312" w:cs="Times New Roman"/>
          <w:b w:val="0"/>
          <w:bCs w:val="0"/>
          <w:color w:val="auto"/>
          <w:kern w:val="2"/>
          <w:sz w:val="32"/>
          <w:szCs w:val="32"/>
          <w:lang w:val="en-US" w:eastAsia="zh-CN" w:bidi="ar-SA"/>
        </w:rPr>
        <w:t>我市建有两个公共资源交易市场，分别是铜陵市公共资源交易中心和枞阳县公共资源交易中心。乡镇交易站34个，挂牌在乡镇三资办、财政（经）所或财政管理服务中心等机构。从交易平台使用情况来看，我市公共资源交易中心给各乡镇均配备了交易账号，乡镇可以在交易中心网络平台发布公告信息，交易总估价30万元以上的农村产权交易要进行场内线上交易，交易总估价30万元以下的农村产权交易由县区自定在乡镇交易站或村集体经济组织开展线下交易。枞阳县无论农村产权交易金额大小，乡镇均利用市公共资源交易中心网站发布交易信息；其他三区30万元以上的农村产权交易在市公共资源交易中心网站发布交易信息，30万元以下的依托本乡镇政府网站发布信息，市交易中心网络平台没有得到有效使用。各县区对农村产权交易标准不统一，交易总估价30万元以下的农村产权交易均在线下开展，没有线上交易竞价系统，造成交易存在监管漏洞，交易量难以全面统计。</w:t>
      </w:r>
    </w:p>
    <w:p w14:paraId="4F0682AB">
      <w:pPr>
        <w:keepNext w:val="0"/>
        <w:keepLines w:val="0"/>
        <w:pageBreakBefore w:val="0"/>
        <w:widowControl w:val="0"/>
        <w:numPr>
          <w:ilvl w:val="0"/>
          <w:numId w:val="0"/>
        </w:numPr>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方正黑体_GBK" w:cs="Times New Roman"/>
          <w:b w:val="0"/>
          <w:bCs w:val="0"/>
          <w:color w:val="auto"/>
          <w:kern w:val="2"/>
          <w:sz w:val="32"/>
          <w:szCs w:val="32"/>
          <w:lang w:val="en-US" w:eastAsia="zh-CN" w:bidi="ar-SA"/>
        </w:rPr>
      </w:pPr>
      <w:r>
        <w:rPr>
          <w:rFonts w:hint="default" w:ascii="Times New Roman" w:hAnsi="Times New Roman" w:eastAsia="方正黑体_GBK" w:cs="Times New Roman"/>
          <w:b w:val="0"/>
          <w:bCs w:val="0"/>
          <w:color w:val="auto"/>
          <w:kern w:val="2"/>
          <w:sz w:val="32"/>
          <w:szCs w:val="32"/>
          <w:lang w:val="en-US" w:eastAsia="zh-CN" w:bidi="ar-SA"/>
        </w:rPr>
        <w:t>二、起草过程</w:t>
      </w:r>
    </w:p>
    <w:p w14:paraId="05B8489C">
      <w:pPr>
        <w:keepNext w:val="0"/>
        <w:keepLines w:val="0"/>
        <w:pageBreakBefore w:val="0"/>
        <w:widowControl w:val="0"/>
        <w:numPr>
          <w:ilvl w:val="0"/>
          <w:numId w:val="0"/>
        </w:numPr>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2023年7月28日、9月12日，市委丁纯书记两次对农村产权交易情况作出批示，农村产权交易宜由农业农村局主管，市公管局做好技术支撑并充分利用好现有的交易中心平台。2023年7月24日市政府吴强副市长对市农业农村局农村产权流转交易市场工作汇报作出批示，要求农业农村局与市公管局进行一次交流调研，就平台系统设置、交易行为规范等进行梳理，坚持问题导向，提出工作思路和意见，进一步规范我市交易市场。2023年9月14日、12月4日市政府吴强副市长先后两次主持召开农村产权交易座谈会，听取工作开展情况并安排部署下步工作。2023年11月10日，市农业农村局召集相关单位就《铜陵市农村产权交易管理暂行办法（初稿）》进行讨论，形成《铜陵市农村产权交易管理暂行办法（征求意见稿）》。</w:t>
      </w:r>
      <w:r>
        <w:rPr>
          <w:rFonts w:hint="default" w:ascii="Times New Roman" w:hAnsi="Times New Roman" w:eastAsia="仿宋_GB2312" w:cs="Times New Roman"/>
          <w:b w:val="0"/>
          <w:bCs w:val="0"/>
          <w:color w:val="auto"/>
          <w:kern w:val="2"/>
          <w:sz w:val="32"/>
          <w:szCs w:val="32"/>
          <w:highlight w:val="none"/>
          <w:lang w:val="en-US" w:eastAsia="zh-CN" w:bidi="ar-SA"/>
        </w:rPr>
        <w:t>2023年12月14日，市农业农村局征求相关单位意见，共收到12个单位复函，其中8个单位无修改意见，其余单位提出修改意见29条，采纳20条（详见后文）。2024年3月15日，市农业</w:t>
      </w:r>
      <w:r>
        <w:rPr>
          <w:rFonts w:hint="default" w:ascii="Times New Roman" w:hAnsi="Times New Roman" w:eastAsia="仿宋_GB2312" w:cs="Times New Roman"/>
          <w:b w:val="0"/>
          <w:bCs w:val="0"/>
          <w:color w:val="auto"/>
          <w:kern w:val="2"/>
          <w:sz w:val="32"/>
          <w:szCs w:val="32"/>
          <w:lang w:val="en-US" w:eastAsia="zh-CN" w:bidi="ar-SA"/>
        </w:rPr>
        <w:t>农村局会同市公共资源交易中心就交易细则进行交流讨论。2024年3月18日，市政府副秘书长张志远主持召开农村产权交易管理工作专题会，再次征求各参会单位意见。</w:t>
      </w:r>
    </w:p>
    <w:p w14:paraId="4CE57188">
      <w:pPr>
        <w:keepNext w:val="0"/>
        <w:keepLines w:val="0"/>
        <w:pageBreakBefore w:val="0"/>
        <w:widowControl w:val="0"/>
        <w:numPr>
          <w:ilvl w:val="0"/>
          <w:numId w:val="0"/>
        </w:numPr>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三、</w:t>
      </w:r>
      <w:r>
        <w:rPr>
          <w:rFonts w:hint="default" w:ascii="Times New Roman" w:hAnsi="Times New Roman" w:eastAsia="方正黑体_GBK" w:cs="Times New Roman"/>
          <w:color w:val="auto"/>
          <w:sz w:val="32"/>
          <w:szCs w:val="32"/>
        </w:rPr>
        <w:t>《</w:t>
      </w:r>
      <w:r>
        <w:rPr>
          <w:rFonts w:hint="default" w:ascii="Times New Roman" w:hAnsi="Times New Roman" w:eastAsia="方正黑体_GBK" w:cs="Times New Roman"/>
          <w:color w:val="auto"/>
          <w:sz w:val="32"/>
          <w:szCs w:val="32"/>
          <w:lang w:val="en-US" w:eastAsia="zh-CN"/>
        </w:rPr>
        <w:t>暂行办法</w:t>
      </w:r>
      <w:r>
        <w:rPr>
          <w:rFonts w:hint="default" w:ascii="Times New Roman" w:hAnsi="Times New Roman" w:eastAsia="方正黑体_GBK" w:cs="Times New Roman"/>
          <w:color w:val="auto"/>
          <w:sz w:val="32"/>
          <w:szCs w:val="32"/>
        </w:rPr>
        <w:t>》主要内容</w:t>
      </w:r>
    </w:p>
    <w:p w14:paraId="789313D7">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暂行办法共七章37条，主要内容为：</w:t>
      </w:r>
    </w:p>
    <w:p w14:paraId="40C3EFA2">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第一章 总则。主要明确了《暂行办法》出台目的（第一条）、适用范围（第二条）、交易原则（第三条）、行业监管部门职责（第四条）、产权交易体系（第五条）。</w:t>
      </w:r>
    </w:p>
    <w:p w14:paraId="04A8B2F0">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第二章 交易机构及职能。主要明确了农村产权交易机构的主要职责和网络平台使用（第六条）、各级农村产权交易机构交易权限和提供服务内容（第七条、第八条）。</w:t>
      </w:r>
    </w:p>
    <w:p w14:paraId="1C31E9B6">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第三章 交易范围、方式和程序。主要明确了农村产权交易服务范围（第九条）、交易方式（第十条）和交易流程（第十一条至第二十二条）。</w:t>
      </w:r>
    </w:p>
    <w:p w14:paraId="7403AA7C">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第四章 交易行为监管。主要明确了农村产权交易合法合规性审批责任单位（第二十三条）、评估要求（第二十四条）、中止交易的情形（第二十五条、第二十六条）、终止交易的情形（第二十七条、第二十八条）、产权交易禁止行为（第二十九条）、收费标准（第三十条）、交易权益保障（第三十一条）。</w:t>
      </w:r>
    </w:p>
    <w:p w14:paraId="076001BF">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第五章 争议处理。主要明确了对农村产权交易活动进行监督和管理，出现产权交易投诉的处理方式（第三十二至三十四条）。</w:t>
      </w:r>
    </w:p>
    <w:p w14:paraId="72079A92">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第六章 监管机制。为促进交易公平，防范风险交易，确保市场规范运行，建立农村产权交易督导机制、审计机制和</w:t>
      </w:r>
      <w:r>
        <w:rPr>
          <w:rFonts w:hint="eastAsia" w:ascii="Times New Roman" w:hAnsi="Times New Roman" w:eastAsia="仿宋_GB2312" w:cs="Times New Roman"/>
          <w:b w:val="0"/>
          <w:bCs w:val="0"/>
          <w:color w:val="auto"/>
          <w:kern w:val="2"/>
          <w:sz w:val="32"/>
          <w:szCs w:val="32"/>
          <w:lang w:val="en-US" w:eastAsia="zh-CN" w:bidi="ar-SA"/>
        </w:rPr>
        <w:t>惩戒</w:t>
      </w:r>
      <w:r>
        <w:rPr>
          <w:rFonts w:hint="default" w:ascii="Times New Roman" w:hAnsi="Times New Roman" w:eastAsia="仿宋_GB2312" w:cs="Times New Roman"/>
          <w:b w:val="0"/>
          <w:bCs w:val="0"/>
          <w:color w:val="auto"/>
          <w:kern w:val="2"/>
          <w:sz w:val="32"/>
          <w:szCs w:val="32"/>
          <w:lang w:val="en-US" w:eastAsia="zh-CN" w:bidi="ar-SA"/>
        </w:rPr>
        <w:t>机制（第三十五条）。</w:t>
      </w:r>
    </w:p>
    <w:p w14:paraId="5245EB84">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color w:val="auto"/>
          <w:sz w:val="44"/>
          <w:szCs w:val="44"/>
          <w:lang w:val="en-US" w:eastAsia="zh-CN"/>
        </w:rPr>
      </w:pPr>
      <w:r>
        <w:rPr>
          <w:rFonts w:hint="default" w:ascii="Times New Roman" w:hAnsi="Times New Roman" w:eastAsia="仿宋_GB2312" w:cs="Times New Roman"/>
          <w:b w:val="0"/>
          <w:bCs w:val="0"/>
          <w:color w:val="auto"/>
          <w:kern w:val="2"/>
          <w:sz w:val="32"/>
          <w:szCs w:val="32"/>
          <w:lang w:val="en-US" w:eastAsia="zh-CN" w:bidi="ar-SA"/>
        </w:rPr>
        <w:t>第七章 附则。明确办法解释单位（第三十六条）和实施时间（第三十七条）</w:t>
      </w:r>
      <w:r>
        <w:rPr>
          <w:rFonts w:hint="eastAsia" w:ascii="Times New Roman" w:hAnsi="Times New Roman" w:eastAsia="仿宋_GB2312" w:cs="Times New Roman"/>
          <w:b w:val="0"/>
          <w:bCs w:val="0"/>
          <w:color w:val="auto"/>
          <w:kern w:val="2"/>
          <w:sz w:val="32"/>
          <w:szCs w:val="32"/>
          <w:lang w:val="en-US" w:eastAsia="zh-CN" w:bidi="ar-SA"/>
        </w:rPr>
        <w:t>。</w:t>
      </w:r>
    </w:p>
    <w:p w14:paraId="3AB28A80"/>
    <w:bookmarkEnd w:id="0"/>
    <w:sectPr>
      <w:footerReference r:id="rId4" w:type="first"/>
      <w:footerReference r:id="rId3" w:type="default"/>
      <w:pgSz w:w="11906" w:h="16838"/>
      <w:pgMar w:top="2098" w:right="1474" w:bottom="1474" w:left="1474" w:header="851" w:footer="1417"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20DE8">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131CF3E">
                          <w:pPr>
                            <w:pStyle w:val="3"/>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hpgkvTAAAABQEA&#10;AA8AAAAAAAAAAQAgAAAAIgAAAGRycy9kb3ducmV2LnhtbFBLAQIUABQAAAAIAIdO4kC9umys5gEA&#10;AMgDAAAOAAAAAAAAAAEAIAAAACIBAABkcnMvZTJvRG9jLnhtbFBLBQYAAAAABgAGAFkBAAB6BQAA&#10;AAA=&#10;">
              <v:fill on="f" focussize="0,0"/>
              <v:stroke on="f" weight="1.25pt"/>
              <v:imagedata o:title=""/>
              <o:lock v:ext="edit" aspectratio="f"/>
              <v:textbox inset="0mm,0mm,0mm,0mm" style="mso-fit-shape-to-text:t;">
                <w:txbxContent>
                  <w:p w14:paraId="1131CF3E">
                    <w:pPr>
                      <w:pStyle w:val="3"/>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EDC4">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0D4E6A1">
                          <w:pPr>
                            <w:pStyle w:val="3"/>
                            <w:rPr>
                              <w:rFonts w:hint="eastAsia" w:ascii="宋体" w:hAnsi="宋体" w:eastAsia="宋体" w:cs="宋体"/>
                              <w:sz w:val="28"/>
                              <w:szCs w:val="40"/>
                            </w:rPr>
                          </w:pPr>
                          <w:r>
                            <w:rPr>
                              <w:rFonts w:hint="eastAsia" w:ascii="宋体" w:hAnsi="宋体" w:eastAsia="宋体" w:cs="宋体"/>
                              <w:sz w:val="28"/>
                              <w:szCs w:val="40"/>
                            </w:rPr>
                            <w:t xml:space="preserve">— </w:t>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r>
                            <w:rPr>
                              <w:rFonts w:hint="eastAsia" w:ascii="宋体" w:hAnsi="宋体" w:eastAsia="宋体" w:cs="宋体"/>
                              <w:sz w:val="28"/>
                              <w:szCs w:val="40"/>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hpgkvTAAAABQEA&#10;AA8AAAAAAAAAAQAgAAAAIgAAAGRycy9kb3ducmV2LnhtbFBLAQIUABQAAAAIAIdO4kAYAKZW5gEA&#10;AMgDAAAOAAAAAAAAAAEAIAAAACIBAABkcnMvZTJvRG9jLnhtbFBLBQYAAAAABgAGAFkBAAB6BQAA&#10;AAA=&#10;">
              <v:fill on="f" focussize="0,0"/>
              <v:stroke on="f" weight="1.25pt"/>
              <v:imagedata o:title=""/>
              <o:lock v:ext="edit" aspectratio="f"/>
              <v:textbox inset="0mm,0mm,0mm,0mm" style="mso-fit-shape-to-text:t;">
                <w:txbxContent>
                  <w:p w14:paraId="10D4E6A1">
                    <w:pPr>
                      <w:pStyle w:val="3"/>
                      <w:rPr>
                        <w:rFonts w:hint="eastAsia" w:ascii="宋体" w:hAnsi="宋体" w:eastAsia="宋体" w:cs="宋体"/>
                        <w:sz w:val="28"/>
                        <w:szCs w:val="40"/>
                      </w:rPr>
                    </w:pPr>
                    <w:r>
                      <w:rPr>
                        <w:rFonts w:hint="eastAsia" w:ascii="宋体" w:hAnsi="宋体" w:eastAsia="宋体" w:cs="宋体"/>
                        <w:sz w:val="28"/>
                        <w:szCs w:val="40"/>
                      </w:rPr>
                      <w:t xml:space="preserve">— </w:t>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r>
                      <w:rPr>
                        <w:rFonts w:hint="eastAsia" w:ascii="宋体" w:hAnsi="宋体" w:eastAsia="宋体" w:cs="宋体"/>
                        <w:sz w:val="28"/>
                        <w:szCs w:val="40"/>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5Y2U2ODg5OThlN2JlM2UxMmUyNTIzNmJiZmNkNzQifQ=="/>
  </w:docVars>
  <w:rsids>
    <w:rsidRoot w:val="00000000"/>
    <w:rsid w:val="1D075982"/>
    <w:rsid w:val="51B51175"/>
    <w:rsid w:val="54CD1356"/>
    <w:rsid w:val="7D643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Plain Text"/>
    <w:basedOn w:val="1"/>
    <w:autoRedefine/>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2160</Words>
  <Characters>2233</Characters>
  <Lines>0</Lines>
  <Paragraphs>0</Paragraphs>
  <TotalTime>3</TotalTime>
  <ScaleCrop>false</ScaleCrop>
  <LinksUpToDate>false</LinksUpToDate>
  <CharactersWithSpaces>2240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2024-06-05T03:14:00Z</dcterms:created>
  <dc:creator>Administrator</dc:creator>
  <cp:lastModifiedBy>该怎么习惯</cp:lastModifiedBy>
  <dcterms:modified xsi:type="dcterms:W3CDTF">2024-11-28T09:33:07Z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5FDE95C11F294F48BE3DA39DFA3EA167_12</vt:lpwstr>
  </property>
</Properties>
</file>