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650335F">
      <w:pPr>
        <w:keepNext w:val="0"/>
        <w:keepLines w:val="0"/>
        <w:pageBreakBefore w:val="0"/>
        <w:widowControl w:val="0"/>
        <w:kinsoku/>
        <w:wordWrap/>
        <w:overflowPunct/>
        <w:topLinePunct w:val="0"/>
        <w:autoSpaceDE/>
        <w:autoSpaceDN/>
        <w:bidi w:val="0"/>
        <w:adjustRightInd/>
        <w:snapToGrid/>
        <w:spacing w:line="590" w:lineRule="exact"/>
        <w:jc w:val="center"/>
        <w:textAlignment w:val="auto"/>
      </w:pPr>
    </w:p>
    <w:p w14:paraId="21C37D58">
      <w:pPr>
        <w:keepNext w:val="0"/>
        <w:keepLines w:val="0"/>
        <w:pageBreakBefore w:val="0"/>
        <w:widowControl w:val="0"/>
        <w:kinsoku/>
        <w:wordWrap/>
        <w:overflowPunct/>
        <w:topLinePunct w:val="0"/>
        <w:autoSpaceDE/>
        <w:autoSpaceDN/>
        <w:bidi w:val="0"/>
        <w:adjustRightInd/>
        <w:snapToGrid/>
        <w:spacing w:line="590" w:lineRule="exact"/>
        <w:jc w:val="center"/>
        <w:textAlignment w:val="auto"/>
      </w:pPr>
    </w:p>
    <w:p w14:paraId="73BFC905">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Times New Roman" w:hAnsi="Times New Roman" w:eastAsia="方正小标宋_GBK" w:cs="Times New Roman"/>
          <w:bCs/>
          <w:sz w:val="44"/>
          <w:szCs w:val="44"/>
          <w:lang w:val="en-US" w:eastAsia="zh-CN" w:bidi="ar-SA"/>
        </w:rPr>
      </w:pPr>
      <w:bookmarkStart w:id="0" w:name="_GoBack"/>
      <w:r>
        <w:rPr>
          <w:rFonts w:hint="eastAsia" w:ascii="Times New Roman" w:hAnsi="Times New Roman" w:eastAsia="方正小标宋_GBK" w:cs="Times New Roman"/>
          <w:bCs/>
          <w:sz w:val="44"/>
          <w:szCs w:val="44"/>
          <w:lang w:val="en-US" w:eastAsia="zh-CN" w:bidi="ar-SA"/>
        </w:rPr>
        <w:t>关于印发《郊区农村垃圾治理工作实施方案》、</w:t>
      </w:r>
    </w:p>
    <w:p w14:paraId="166F4D88">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Times New Roman" w:hAnsi="Times New Roman" w:eastAsia="方正小标宋_GBK" w:cs="Times New Roman"/>
          <w:bCs/>
          <w:sz w:val="44"/>
          <w:szCs w:val="44"/>
          <w:lang w:val="en-US" w:eastAsia="zh-CN" w:bidi="ar-SA"/>
        </w:rPr>
      </w:pPr>
      <w:r>
        <w:rPr>
          <w:rFonts w:hint="eastAsia" w:ascii="Times New Roman" w:hAnsi="Times New Roman" w:eastAsia="方正小标宋_GBK" w:cs="Times New Roman"/>
          <w:bCs/>
          <w:sz w:val="44"/>
          <w:szCs w:val="44"/>
          <w:lang w:val="en-US" w:eastAsia="zh-CN" w:bidi="ar-SA"/>
        </w:rPr>
        <w:t>《郊区农村卫生厕所改造工作实施方案》的</w:t>
      </w:r>
    </w:p>
    <w:p w14:paraId="275CD295">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Times New Roman" w:hAnsi="Times New Roman" w:eastAsia="方正小标宋_GBK" w:cs="Times New Roman"/>
          <w:bCs/>
          <w:sz w:val="44"/>
          <w:szCs w:val="44"/>
          <w:lang w:val="en-US" w:eastAsia="zh-CN" w:bidi="ar-SA"/>
        </w:rPr>
      </w:pPr>
      <w:r>
        <w:rPr>
          <w:rFonts w:hint="eastAsia" w:ascii="Times New Roman" w:hAnsi="Times New Roman" w:eastAsia="方正小标宋_GBK" w:cs="Times New Roman"/>
          <w:bCs/>
          <w:sz w:val="44"/>
          <w:szCs w:val="44"/>
          <w:lang w:val="en-US" w:eastAsia="zh-CN" w:bidi="ar-SA"/>
        </w:rPr>
        <w:t>通    知</w:t>
      </w:r>
    </w:p>
    <w:bookmarkEnd w:id="0"/>
    <w:p w14:paraId="56C5813F">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eastAsia="仿宋_GB2312"/>
          <w:sz w:val="32"/>
          <w:szCs w:val="32"/>
        </w:rPr>
      </w:pPr>
      <w:r>
        <w:rPr>
          <w:rFonts w:hint="eastAsia" w:ascii="方正仿宋_GBK" w:hAnsi="方正仿宋_GBK" w:eastAsia="方正仿宋_GBK" w:cs="方正仿宋_GBK"/>
          <w:sz w:val="32"/>
          <w:szCs w:val="32"/>
        </w:rPr>
        <w:t>郊政办</w:t>
      </w:r>
      <w:r>
        <w:rPr>
          <w:rFonts w:ascii="Times New Roman" w:hAnsi="Times New Roman" w:eastAsia="仿宋_GB2312" w:cs="Times New Roman"/>
          <w:sz w:val="32"/>
          <w:szCs w:val="32"/>
        </w:rPr>
        <w:t>〔2017〕80</w:t>
      </w:r>
      <w:r>
        <w:rPr>
          <w:rFonts w:hint="eastAsia" w:ascii="方正仿宋_GBK" w:hAnsi="方正仿宋_GBK" w:eastAsia="方正仿宋_GBK" w:cs="方正仿宋_GBK"/>
          <w:sz w:val="32"/>
          <w:szCs w:val="32"/>
        </w:rPr>
        <w:t>号</w:t>
      </w:r>
    </w:p>
    <w:p w14:paraId="3B02837A">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Times New Roman" w:hAnsi="Times New Roman" w:eastAsia="方正小标宋_GBK" w:cs="Times New Roman"/>
          <w:bCs/>
          <w:sz w:val="44"/>
          <w:szCs w:val="44"/>
          <w:lang w:val="en-US" w:eastAsia="zh-CN" w:bidi="ar-SA"/>
        </w:rPr>
      </w:pPr>
    </w:p>
    <w:p w14:paraId="24F21FB8">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乡、镇人民政府，各办事处，普济圩社区：</w:t>
      </w:r>
    </w:p>
    <w:p w14:paraId="30D5F09C">
      <w:pPr>
        <w:keepNext w:val="0"/>
        <w:keepLines w:val="0"/>
        <w:pageBreakBefore w:val="0"/>
        <w:widowControl w:val="0"/>
        <w:kinsoku/>
        <w:wordWrap/>
        <w:overflowPunct/>
        <w:topLinePunct w:val="0"/>
        <w:autoSpaceDE/>
        <w:autoSpaceDN/>
        <w:bidi w:val="0"/>
        <w:adjustRightInd/>
        <w:snapToGrid/>
        <w:spacing w:line="590" w:lineRule="exact"/>
        <w:ind w:firstLine="645"/>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《郊区农村垃圾治理工作实施方案》、《郊区农村卫生厕所改造工作实施方案》已经区政府同意，现印发给你们，请结合实际认真贯彻执行。</w:t>
      </w:r>
    </w:p>
    <w:p w14:paraId="5A93E245">
      <w:pPr>
        <w:keepNext w:val="0"/>
        <w:keepLines w:val="0"/>
        <w:pageBreakBefore w:val="0"/>
        <w:widowControl w:val="0"/>
        <w:kinsoku/>
        <w:wordWrap/>
        <w:overflowPunct/>
        <w:topLinePunct w:val="0"/>
        <w:autoSpaceDE/>
        <w:autoSpaceDN/>
        <w:bidi w:val="0"/>
        <w:adjustRightInd/>
        <w:snapToGrid/>
        <w:spacing w:line="590" w:lineRule="exact"/>
        <w:ind w:firstLine="645"/>
        <w:textAlignment w:val="auto"/>
        <w:rPr>
          <w:rFonts w:eastAsia="仿宋_GB2312"/>
          <w:sz w:val="32"/>
          <w:szCs w:val="32"/>
        </w:rPr>
      </w:pPr>
    </w:p>
    <w:p w14:paraId="6382106F">
      <w:pPr>
        <w:keepNext w:val="0"/>
        <w:keepLines w:val="0"/>
        <w:pageBreakBefore w:val="0"/>
        <w:widowControl w:val="0"/>
        <w:kinsoku/>
        <w:wordWrap/>
        <w:overflowPunct/>
        <w:topLinePunct w:val="0"/>
        <w:autoSpaceDE/>
        <w:autoSpaceDN/>
        <w:bidi w:val="0"/>
        <w:adjustRightInd/>
        <w:snapToGrid/>
        <w:spacing w:line="590" w:lineRule="exact"/>
        <w:ind w:firstLine="645"/>
        <w:textAlignment w:val="auto"/>
        <w:rPr>
          <w:rFonts w:eastAsia="仿宋_GB2312"/>
          <w:sz w:val="32"/>
          <w:szCs w:val="32"/>
        </w:rPr>
      </w:pPr>
    </w:p>
    <w:p w14:paraId="065FB080">
      <w:pPr>
        <w:keepNext w:val="0"/>
        <w:keepLines w:val="0"/>
        <w:pageBreakBefore w:val="0"/>
        <w:widowControl w:val="0"/>
        <w:kinsoku/>
        <w:wordWrap/>
        <w:overflowPunct/>
        <w:topLinePunct w:val="0"/>
        <w:autoSpaceDE/>
        <w:autoSpaceDN/>
        <w:bidi w:val="0"/>
        <w:adjustRightInd/>
        <w:snapToGrid/>
        <w:spacing w:line="590" w:lineRule="exact"/>
        <w:ind w:firstLine="645"/>
        <w:textAlignment w:val="auto"/>
        <w:rPr>
          <w:rFonts w:eastAsia="仿宋_GB2312"/>
          <w:sz w:val="32"/>
          <w:szCs w:val="32"/>
        </w:rPr>
      </w:pPr>
    </w:p>
    <w:p w14:paraId="47846CB2">
      <w:pPr>
        <w:keepNext w:val="0"/>
        <w:keepLines w:val="0"/>
        <w:pageBreakBefore w:val="0"/>
        <w:widowControl w:val="0"/>
        <w:kinsoku/>
        <w:wordWrap/>
        <w:overflowPunct/>
        <w:topLinePunct w:val="0"/>
        <w:autoSpaceDE/>
        <w:autoSpaceDN/>
        <w:bidi w:val="0"/>
        <w:adjustRightInd/>
        <w:snapToGrid/>
        <w:spacing w:line="590" w:lineRule="exact"/>
        <w:ind w:right="640" w:rightChars="200" w:firstLine="645"/>
        <w:textAlignment w:val="auto"/>
        <w:rPr>
          <w:rFonts w:eastAsia="仿宋_GB2312"/>
          <w:sz w:val="32"/>
          <w:szCs w:val="32"/>
        </w:rPr>
      </w:pPr>
      <w:r>
        <w:rPr>
          <w:rFonts w:eastAsia="仿宋_GB2312"/>
          <w:sz w:val="32"/>
          <w:szCs w:val="32"/>
        </w:rPr>
        <w:t xml:space="preserve">                       </w:t>
      </w:r>
      <w:r>
        <w:rPr>
          <w:rFonts w:ascii="Times New Roman" w:hAnsi="Times New Roman" w:eastAsia="方正仿宋_GBK" w:cs="Times New Roman"/>
          <w:sz w:val="32"/>
          <w:szCs w:val="32"/>
          <w:lang w:val="en-US" w:eastAsia="zh-CN"/>
        </w:rPr>
        <w:t>铜陵市</w:t>
      </w:r>
      <w:r>
        <w:rPr>
          <w:rFonts w:hint="eastAsia" w:ascii="Times New Roman" w:hAnsi="Times New Roman" w:eastAsia="方正仿宋_GBK" w:cs="Times New Roman"/>
          <w:sz w:val="32"/>
          <w:szCs w:val="32"/>
          <w:lang w:val="en-US" w:eastAsia="zh-CN"/>
        </w:rPr>
        <w:t>郊区</w:t>
      </w:r>
      <w:r>
        <w:rPr>
          <w:rFonts w:ascii="Times New Roman" w:hAnsi="Times New Roman" w:eastAsia="方正仿宋_GBK" w:cs="Times New Roman"/>
          <w:sz w:val="32"/>
          <w:szCs w:val="32"/>
          <w:lang w:val="en-US" w:eastAsia="zh-CN"/>
        </w:rPr>
        <w:t>人民政府办公室</w:t>
      </w:r>
    </w:p>
    <w:p w14:paraId="5B905861">
      <w:pPr>
        <w:keepNext w:val="0"/>
        <w:keepLines w:val="0"/>
        <w:pageBreakBefore w:val="0"/>
        <w:widowControl w:val="0"/>
        <w:kinsoku/>
        <w:wordWrap/>
        <w:overflowPunct/>
        <w:topLinePunct w:val="0"/>
        <w:autoSpaceDE/>
        <w:autoSpaceDN/>
        <w:bidi w:val="0"/>
        <w:adjustRightInd/>
        <w:snapToGrid/>
        <w:spacing w:line="590" w:lineRule="exact"/>
        <w:ind w:firstLine="5120" w:firstLineChars="1600"/>
        <w:textAlignment w:val="auto"/>
        <w:rPr>
          <w:rFonts w:eastAsia="仿宋_GB2312"/>
          <w:sz w:val="32"/>
          <w:szCs w:val="32"/>
        </w:rPr>
      </w:pPr>
      <w:r>
        <w:rPr>
          <w:rFonts w:ascii="Times New Roman" w:hAnsi="Times New Roman" w:eastAsia="仿宋_GB2312" w:cs="Times New Roman"/>
          <w:sz w:val="32"/>
          <w:szCs w:val="32"/>
        </w:rPr>
        <w:t>2017</w:t>
      </w:r>
      <w:r>
        <w:rPr>
          <w:rFonts w:hint="eastAsia" w:ascii="方正仿宋_GBK" w:hAnsi="方正仿宋_GBK" w:eastAsia="方正仿宋_GBK" w:cs="方正仿宋_GBK"/>
          <w:sz w:val="32"/>
          <w:szCs w:val="32"/>
        </w:rPr>
        <w:t>年</w:t>
      </w:r>
      <w:r>
        <w:rPr>
          <w:rFonts w:hint="eastAsia" w:ascii="Times New Roman" w:hAnsi="Times New Roman" w:eastAsia="仿宋_GB2312" w:cs="Times New Roman"/>
          <w:sz w:val="32"/>
          <w:szCs w:val="32"/>
        </w:rPr>
        <w:t>8</w:t>
      </w:r>
      <w:r>
        <w:rPr>
          <w:rFonts w:hint="eastAsia" w:ascii="方正仿宋_GBK" w:hAnsi="方正仿宋_GBK" w:eastAsia="方正仿宋_GBK" w:cs="方正仿宋_GBK"/>
          <w:sz w:val="32"/>
          <w:szCs w:val="32"/>
        </w:rPr>
        <w:t>月</w:t>
      </w:r>
      <w:r>
        <w:rPr>
          <w:rFonts w:hint="eastAsia" w:eastAsia="仿宋_GB2312"/>
          <w:sz w:val="32"/>
          <w:szCs w:val="32"/>
        </w:rPr>
        <w:t>30</w:t>
      </w:r>
      <w:r>
        <w:rPr>
          <w:rFonts w:hint="eastAsia" w:ascii="方正仿宋_GBK" w:hAnsi="方正仿宋_GBK" w:eastAsia="方正仿宋_GBK" w:cs="方正仿宋_GBK"/>
          <w:sz w:val="32"/>
          <w:szCs w:val="32"/>
        </w:rPr>
        <w:t>日</w:t>
      </w:r>
    </w:p>
    <w:p w14:paraId="510E6D27">
      <w:pPr>
        <w:keepNext w:val="0"/>
        <w:keepLines w:val="0"/>
        <w:pageBreakBefore w:val="0"/>
        <w:widowControl w:val="0"/>
        <w:kinsoku/>
        <w:wordWrap/>
        <w:overflowPunct/>
        <w:topLinePunct w:val="0"/>
        <w:autoSpaceDE/>
        <w:autoSpaceDN/>
        <w:bidi w:val="0"/>
        <w:adjustRightInd/>
        <w:snapToGrid/>
        <w:spacing w:line="590" w:lineRule="exact"/>
        <w:jc w:val="left"/>
        <w:textAlignment w:val="auto"/>
        <w:rPr>
          <w:rFonts w:hint="eastAsia" w:ascii="Times New Roman" w:hAnsi="Times New Roman" w:eastAsia="方正小标宋_GBK" w:cs="Times New Roman"/>
          <w:bCs/>
          <w:sz w:val="44"/>
          <w:szCs w:val="44"/>
          <w:lang w:val="en-US" w:eastAsia="zh-CN" w:bidi="ar-SA"/>
        </w:rPr>
      </w:pPr>
    </w:p>
    <w:p w14:paraId="67E77209">
      <w:pPr>
        <w:keepNext w:val="0"/>
        <w:keepLines w:val="0"/>
        <w:pageBreakBefore w:val="0"/>
        <w:widowControl w:val="0"/>
        <w:kinsoku/>
        <w:wordWrap/>
        <w:overflowPunct/>
        <w:topLinePunct w:val="0"/>
        <w:autoSpaceDE/>
        <w:autoSpaceDN/>
        <w:bidi w:val="0"/>
        <w:adjustRightInd/>
        <w:snapToGrid/>
        <w:spacing w:line="590" w:lineRule="exact"/>
        <w:jc w:val="left"/>
        <w:textAlignment w:val="auto"/>
        <w:rPr>
          <w:rFonts w:hint="eastAsia" w:ascii="Times New Roman" w:hAnsi="Times New Roman" w:eastAsia="方正小标宋_GBK" w:cs="Times New Roman"/>
          <w:bCs/>
          <w:sz w:val="44"/>
          <w:szCs w:val="44"/>
          <w:lang w:val="en-US" w:eastAsia="zh-CN" w:bidi="ar-SA"/>
        </w:rPr>
      </w:pPr>
    </w:p>
    <w:p w14:paraId="3D379C0E">
      <w:pPr>
        <w:keepNext w:val="0"/>
        <w:keepLines w:val="0"/>
        <w:pageBreakBefore w:val="0"/>
        <w:widowControl w:val="0"/>
        <w:kinsoku/>
        <w:wordWrap/>
        <w:overflowPunct/>
        <w:topLinePunct w:val="0"/>
        <w:autoSpaceDE/>
        <w:autoSpaceDN/>
        <w:bidi w:val="0"/>
        <w:adjustRightInd/>
        <w:snapToGrid/>
        <w:spacing w:line="590" w:lineRule="exact"/>
        <w:jc w:val="left"/>
        <w:textAlignment w:val="auto"/>
        <w:rPr>
          <w:rFonts w:hint="eastAsia" w:ascii="Times New Roman" w:hAnsi="Times New Roman" w:eastAsia="方正小标宋_GBK" w:cs="Times New Roman"/>
          <w:bCs/>
          <w:sz w:val="44"/>
          <w:szCs w:val="44"/>
          <w:lang w:val="en-US" w:eastAsia="zh-CN" w:bidi="ar-SA"/>
        </w:rPr>
      </w:pPr>
    </w:p>
    <w:p w14:paraId="5BE6D5E2">
      <w:pPr>
        <w:keepNext w:val="0"/>
        <w:keepLines w:val="0"/>
        <w:pageBreakBefore w:val="0"/>
        <w:widowControl w:val="0"/>
        <w:kinsoku/>
        <w:wordWrap/>
        <w:overflowPunct/>
        <w:topLinePunct w:val="0"/>
        <w:autoSpaceDE/>
        <w:autoSpaceDN/>
        <w:bidi w:val="0"/>
        <w:adjustRightInd/>
        <w:snapToGrid/>
        <w:spacing w:line="590" w:lineRule="exact"/>
        <w:jc w:val="left"/>
        <w:textAlignment w:val="auto"/>
        <w:rPr>
          <w:rFonts w:hint="eastAsia" w:ascii="Times New Roman" w:hAnsi="Times New Roman" w:eastAsia="方正小标宋_GBK" w:cs="Times New Roman"/>
          <w:bCs/>
          <w:sz w:val="44"/>
          <w:szCs w:val="44"/>
          <w:lang w:val="en-US" w:eastAsia="zh-CN" w:bidi="ar-SA"/>
        </w:rPr>
      </w:pPr>
    </w:p>
    <w:p w14:paraId="64A12422">
      <w:pPr>
        <w:keepNext w:val="0"/>
        <w:keepLines w:val="0"/>
        <w:pageBreakBefore w:val="0"/>
        <w:widowControl w:val="0"/>
        <w:kinsoku/>
        <w:wordWrap/>
        <w:overflowPunct/>
        <w:topLinePunct w:val="0"/>
        <w:autoSpaceDE/>
        <w:autoSpaceDN/>
        <w:bidi w:val="0"/>
        <w:adjustRightInd/>
        <w:snapToGrid/>
        <w:spacing w:line="590" w:lineRule="exact"/>
        <w:jc w:val="left"/>
        <w:textAlignment w:val="auto"/>
        <w:rPr>
          <w:rFonts w:hint="eastAsia" w:ascii="Times New Roman" w:hAnsi="Times New Roman" w:eastAsia="方正小标宋_GBK" w:cs="Times New Roman"/>
          <w:bCs/>
          <w:sz w:val="44"/>
          <w:szCs w:val="44"/>
          <w:lang w:val="en-US" w:eastAsia="zh-CN" w:bidi="ar-SA"/>
        </w:rPr>
      </w:pPr>
    </w:p>
    <w:p w14:paraId="654368B2">
      <w:pPr>
        <w:keepNext w:val="0"/>
        <w:keepLines w:val="0"/>
        <w:pageBreakBefore w:val="0"/>
        <w:widowControl w:val="0"/>
        <w:kinsoku/>
        <w:wordWrap/>
        <w:overflowPunct/>
        <w:topLinePunct w:val="0"/>
        <w:autoSpaceDE/>
        <w:autoSpaceDN/>
        <w:bidi w:val="0"/>
        <w:adjustRightInd/>
        <w:snapToGrid/>
        <w:spacing w:after="156" w:line="590" w:lineRule="exact"/>
        <w:jc w:val="center"/>
        <w:textAlignment w:val="auto"/>
        <w:rPr>
          <w:rFonts w:eastAsia="方正小标宋简体"/>
          <w:bCs/>
          <w:sz w:val="44"/>
          <w:szCs w:val="44"/>
        </w:rPr>
      </w:pPr>
    </w:p>
    <w:p w14:paraId="124D4872">
      <w:pPr>
        <w:keepNext w:val="0"/>
        <w:keepLines w:val="0"/>
        <w:pageBreakBefore w:val="0"/>
        <w:widowControl w:val="0"/>
        <w:kinsoku/>
        <w:wordWrap/>
        <w:overflowPunct/>
        <w:topLinePunct w:val="0"/>
        <w:autoSpaceDE/>
        <w:autoSpaceDN/>
        <w:bidi w:val="0"/>
        <w:adjustRightInd/>
        <w:snapToGrid/>
        <w:spacing w:after="156" w:line="590" w:lineRule="exact"/>
        <w:jc w:val="center"/>
        <w:textAlignment w:val="auto"/>
        <w:rPr>
          <w:rFonts w:hint="eastAsia" w:ascii="方正小标宋_GBK" w:hAnsi="方正小标宋_GBK" w:eastAsia="方正小标宋_GBK" w:cs="方正小标宋_GBK"/>
          <w:bCs/>
          <w:sz w:val="44"/>
          <w:szCs w:val="44"/>
        </w:rPr>
      </w:pPr>
      <w:r>
        <w:rPr>
          <w:rFonts w:hint="eastAsia" w:ascii="方正小标宋_GBK" w:hAnsi="方正小标宋_GBK" w:eastAsia="方正小标宋_GBK" w:cs="方正小标宋_GBK"/>
          <w:bCs/>
          <w:sz w:val="44"/>
          <w:szCs w:val="44"/>
        </w:rPr>
        <w:t>铜陵市郊区农村垃圾治理工作实施方案</w:t>
      </w:r>
    </w:p>
    <w:p w14:paraId="0451EDBC">
      <w:pPr>
        <w:keepNext w:val="0"/>
        <w:keepLines w:val="0"/>
        <w:pageBreakBefore w:val="0"/>
        <w:widowControl w:val="0"/>
        <w:kinsoku/>
        <w:wordWrap/>
        <w:overflowPunct/>
        <w:topLinePunct w:val="0"/>
        <w:autoSpaceDE/>
        <w:autoSpaceDN/>
        <w:bidi w:val="0"/>
        <w:adjustRightInd/>
        <w:snapToGrid/>
        <w:spacing w:after="156" w:line="590" w:lineRule="exact"/>
        <w:jc w:val="center"/>
        <w:textAlignment w:val="auto"/>
        <w:rPr>
          <w:rFonts w:hint="eastAsia" w:ascii="方正小标宋_GBK" w:hAnsi="方正小标宋_GBK" w:eastAsia="方正小标宋_GBK" w:cs="方正小标宋_GBK"/>
          <w:bCs/>
          <w:sz w:val="44"/>
          <w:szCs w:val="44"/>
        </w:rPr>
      </w:pPr>
    </w:p>
    <w:p w14:paraId="24B78EC9">
      <w:pPr>
        <w:keepNext w:val="0"/>
        <w:keepLines w:val="0"/>
        <w:pageBreakBefore w:val="0"/>
        <w:widowControl w:val="0"/>
        <w:kinsoku/>
        <w:wordWrap/>
        <w:overflowPunct/>
        <w:topLinePunct w:val="0"/>
        <w:autoSpaceDE/>
        <w:autoSpaceDN/>
        <w:bidi w:val="0"/>
        <w:adjustRightInd/>
        <w:snapToGrid/>
        <w:spacing w:line="590" w:lineRule="exact"/>
        <w:ind w:firstLine="640"/>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为认真贯彻落实省委、省政府办公厅《关于一体化推进农村垃圾污水厕所专项整治加快改善农村人居环境的实施方案》（皖办发</w:t>
      </w:r>
      <w:r>
        <w:rPr>
          <w:rFonts w:ascii="Times New Roman" w:hAnsi="Times New Roman" w:eastAsia="方正仿宋_GBK" w:cs="Times New Roman"/>
          <w:sz w:val="32"/>
          <w:szCs w:val="32"/>
        </w:rPr>
        <w:t>〔2017〕27号）</w:t>
      </w:r>
      <w:r>
        <w:rPr>
          <w:rFonts w:hint="eastAsia" w:ascii="方正仿宋_GBK" w:hAnsi="方正仿宋_GBK" w:eastAsia="方正仿宋_GBK" w:cs="方正仿宋_GBK"/>
          <w:sz w:val="32"/>
          <w:szCs w:val="32"/>
        </w:rPr>
        <w:t>文件和</w:t>
      </w:r>
      <w:r>
        <w:rPr>
          <w:rFonts w:ascii="Times New Roman" w:hAnsi="Times New Roman" w:eastAsia="方正仿宋_GBK" w:cs="Times New Roman"/>
          <w:sz w:val="32"/>
          <w:szCs w:val="32"/>
        </w:rPr>
        <w:t>2017</w:t>
      </w:r>
      <w:r>
        <w:rPr>
          <w:rFonts w:hint="eastAsia" w:ascii="方正仿宋_GBK" w:hAnsi="方正仿宋_GBK" w:eastAsia="方正仿宋_GBK" w:cs="方正仿宋_GBK"/>
          <w:sz w:val="32"/>
          <w:szCs w:val="32"/>
        </w:rPr>
        <w:t>年</w:t>
      </w:r>
      <w:r>
        <w:rPr>
          <w:rFonts w:hint="eastAsia" w:ascii="Times New Roman" w:hAnsi="Times New Roman" w:eastAsia="方正仿宋_GBK" w:cs="Times New Roman"/>
          <w:sz w:val="32"/>
          <w:szCs w:val="32"/>
        </w:rPr>
        <w:t>5</w:t>
      </w:r>
      <w:r>
        <w:rPr>
          <w:rFonts w:hint="eastAsia" w:ascii="方正仿宋_GBK" w:hAnsi="方正仿宋_GBK" w:eastAsia="方正仿宋_GBK" w:cs="方正仿宋_GBK"/>
          <w:sz w:val="32"/>
          <w:szCs w:val="32"/>
        </w:rPr>
        <w:t>月</w:t>
      </w:r>
      <w:r>
        <w:rPr>
          <w:rFonts w:hint="eastAsia" w:ascii="Times New Roman" w:hAnsi="Times New Roman" w:eastAsia="方正仿宋_GBK" w:cs="Times New Roman"/>
          <w:sz w:val="32"/>
          <w:szCs w:val="32"/>
        </w:rPr>
        <w:t>26</w:t>
      </w:r>
      <w:r>
        <w:rPr>
          <w:rFonts w:hint="eastAsia" w:ascii="方正仿宋_GBK" w:hAnsi="方正仿宋_GBK" w:eastAsia="方正仿宋_GBK" w:cs="方正仿宋_GBK"/>
          <w:sz w:val="32"/>
          <w:szCs w:val="32"/>
        </w:rPr>
        <w:t>日省委省政府召开的全省美丽乡村建设推进会精神，大力推进我区农村环境“三大革命”，农村垃圾治理是“三大革命”之一，结合我区实际，制定本方案。</w:t>
      </w:r>
    </w:p>
    <w:p w14:paraId="788E35F9">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一、总体目标</w:t>
      </w:r>
    </w:p>
    <w:p w14:paraId="63A54BB2">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通过开展非正规垃圾堆放点整治、逐步推行农村垃圾分类、完善设施设备、扩充保洁队伍、健全长效管理制度等方式，实现农村垃圾治理自然村全覆盖。</w:t>
      </w:r>
    </w:p>
    <w:p w14:paraId="5A83C3DD">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eastAsia="仿宋_GB2312"/>
          <w:sz w:val="32"/>
          <w:szCs w:val="32"/>
        </w:rPr>
      </w:pPr>
      <w:r>
        <w:rPr>
          <w:rFonts w:hint="eastAsia" w:ascii="方正仿宋_GBK" w:hAnsi="方正仿宋_GBK" w:eastAsia="方正仿宋_GBK" w:cs="方正仿宋_GBK"/>
          <w:sz w:val="32"/>
          <w:szCs w:val="32"/>
        </w:rPr>
        <w:t>到</w:t>
      </w:r>
      <w:r>
        <w:rPr>
          <w:rFonts w:eastAsia="仿宋_GB2312"/>
          <w:sz w:val="32"/>
          <w:szCs w:val="32"/>
        </w:rPr>
        <w:t>2020</w:t>
      </w:r>
      <w:r>
        <w:rPr>
          <w:rFonts w:hint="eastAsia" w:ascii="方正仿宋_GBK" w:hAnsi="方正仿宋_GBK" w:eastAsia="方正仿宋_GBK" w:cs="方正仿宋_GBK"/>
          <w:sz w:val="32"/>
          <w:szCs w:val="32"/>
        </w:rPr>
        <w:t>年，农村生活垃圾无害化处理率达到</w:t>
      </w:r>
      <w:r>
        <w:rPr>
          <w:rFonts w:eastAsia="仿宋_GB2312"/>
          <w:sz w:val="32"/>
          <w:szCs w:val="32"/>
        </w:rPr>
        <w:t>70%</w:t>
      </w:r>
      <w:r>
        <w:rPr>
          <w:rFonts w:hint="eastAsia" w:ascii="方正仿宋_GBK" w:hAnsi="方正仿宋_GBK" w:eastAsia="方正仿宋_GBK" w:cs="方正仿宋_GBK"/>
          <w:sz w:val="32"/>
          <w:szCs w:val="32"/>
        </w:rPr>
        <w:t>以上，规模化畜禽养殖场（小区）配套建设粪污处理设施比例达到</w:t>
      </w:r>
      <w:r>
        <w:rPr>
          <w:rFonts w:eastAsia="仿宋_GB2312"/>
          <w:sz w:val="32"/>
          <w:szCs w:val="32"/>
        </w:rPr>
        <w:t>80%，</w:t>
      </w:r>
      <w:r>
        <w:rPr>
          <w:rFonts w:hint="eastAsia" w:ascii="方正仿宋_GBK" w:hAnsi="方正仿宋_GBK" w:eastAsia="方正仿宋_GBK" w:cs="方正仿宋_GBK"/>
          <w:sz w:val="32"/>
          <w:szCs w:val="32"/>
        </w:rPr>
        <w:t>农作物秸秆综合利用率达到</w:t>
      </w:r>
      <w:r>
        <w:rPr>
          <w:rFonts w:eastAsia="仿宋_GB2312"/>
          <w:sz w:val="32"/>
          <w:szCs w:val="32"/>
        </w:rPr>
        <w:t>90%，</w:t>
      </w:r>
      <w:r>
        <w:rPr>
          <w:rFonts w:hint="eastAsia" w:ascii="方正仿宋_GBK" w:hAnsi="方正仿宋_GBK" w:eastAsia="方正仿宋_GBK" w:cs="方正仿宋_GBK"/>
          <w:sz w:val="32"/>
          <w:szCs w:val="32"/>
        </w:rPr>
        <w:t>农膜回收率达到</w:t>
      </w:r>
      <w:r>
        <w:rPr>
          <w:rFonts w:eastAsia="仿宋_GB2312"/>
          <w:sz w:val="32"/>
          <w:szCs w:val="32"/>
        </w:rPr>
        <w:t>80%，</w:t>
      </w:r>
      <w:r>
        <w:rPr>
          <w:rFonts w:hint="eastAsia" w:ascii="方正仿宋_GBK" w:hAnsi="方正仿宋_GBK" w:eastAsia="方正仿宋_GBK" w:cs="方正仿宋_GBK"/>
          <w:sz w:val="32"/>
          <w:szCs w:val="32"/>
        </w:rPr>
        <w:t>农村地区工业危险废物无害化利用处置率达到</w:t>
      </w:r>
      <w:r>
        <w:rPr>
          <w:rFonts w:eastAsia="仿宋_GB2312"/>
          <w:sz w:val="32"/>
          <w:szCs w:val="32"/>
        </w:rPr>
        <w:t>95%。</w:t>
      </w:r>
      <w:r>
        <w:rPr>
          <w:rFonts w:hint="eastAsia" w:ascii="方正仿宋_GBK" w:hAnsi="方正仿宋_GBK" w:eastAsia="方正仿宋_GBK" w:cs="方正仿宋_GBK"/>
          <w:sz w:val="32"/>
          <w:szCs w:val="32"/>
        </w:rPr>
        <w:t>逐步建立“分类收集、定点投放、回收利用、末端处置”的运行体系。</w:t>
      </w:r>
    </w:p>
    <w:p w14:paraId="5924BC92">
      <w:pPr>
        <w:keepNext w:val="0"/>
        <w:keepLines w:val="0"/>
        <w:pageBreakBefore w:val="0"/>
        <w:widowControl w:val="0"/>
        <w:kinsoku/>
        <w:wordWrap/>
        <w:overflowPunct/>
        <w:topLinePunct w:val="0"/>
        <w:autoSpaceDE/>
        <w:autoSpaceDN/>
        <w:bidi w:val="0"/>
        <w:adjustRightInd/>
        <w:snapToGrid/>
        <w:spacing w:line="590" w:lineRule="exact"/>
        <w:ind w:firstLine="643"/>
        <w:textAlignment w:val="auto"/>
        <w:rPr>
          <w:rFonts w:hint="eastAsia" w:ascii="方正楷体_GBK" w:hAnsi="方正楷体_GBK" w:eastAsia="方正楷体_GBK" w:cs="方正楷体_GBK"/>
          <w:b/>
          <w:bCs/>
          <w:sz w:val="32"/>
          <w:szCs w:val="32"/>
        </w:rPr>
      </w:pPr>
      <w:r>
        <w:rPr>
          <w:rFonts w:hint="eastAsia" w:ascii="方正楷体_GBK" w:hAnsi="方正楷体_GBK" w:eastAsia="方正楷体_GBK" w:cs="方正楷体_GBK"/>
          <w:b w:val="0"/>
          <w:bCs w:val="0"/>
          <w:sz w:val="32"/>
          <w:szCs w:val="32"/>
        </w:rPr>
        <w:t>（一）</w:t>
      </w:r>
      <w:r>
        <w:rPr>
          <w:rFonts w:hint="eastAsia" w:ascii="Times New Roman" w:hAnsi="Times New Roman" w:eastAsia="仿宋_GB2312" w:cs="Times New Roman"/>
          <w:b w:val="0"/>
          <w:bCs w:val="0"/>
          <w:sz w:val="32"/>
          <w:szCs w:val="32"/>
        </w:rPr>
        <w:t>2017</w:t>
      </w:r>
      <w:r>
        <w:rPr>
          <w:rFonts w:hint="eastAsia" w:ascii="方正楷体_GBK" w:hAnsi="方正楷体_GBK" w:eastAsia="方正楷体_GBK" w:cs="方正楷体_GBK"/>
          <w:b w:val="0"/>
          <w:bCs w:val="0"/>
          <w:sz w:val="32"/>
          <w:szCs w:val="32"/>
        </w:rPr>
        <w:t>年农村垃圾治理目标</w:t>
      </w:r>
    </w:p>
    <w:p w14:paraId="4B2B1480">
      <w:pPr>
        <w:keepNext w:val="0"/>
        <w:keepLines w:val="0"/>
        <w:pageBreakBefore w:val="0"/>
        <w:widowControl w:val="0"/>
        <w:kinsoku/>
        <w:wordWrap/>
        <w:overflowPunct/>
        <w:topLinePunct w:val="0"/>
        <w:autoSpaceDE/>
        <w:autoSpaceDN/>
        <w:bidi w:val="0"/>
        <w:adjustRightInd/>
        <w:snapToGrid/>
        <w:spacing w:line="590" w:lineRule="exact"/>
        <w:ind w:firstLine="643"/>
        <w:textAlignment w:val="auto"/>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1. 农村生活垃圾治理：</w:t>
      </w:r>
    </w:p>
    <w:p w14:paraId="5AAEE2F5">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Cs/>
          <w:sz w:val="32"/>
          <w:szCs w:val="32"/>
        </w:rPr>
        <w:t>（1）开展</w:t>
      </w:r>
      <w:r>
        <w:rPr>
          <w:rFonts w:hint="eastAsia" w:ascii="方正仿宋_GBK" w:hAnsi="方正仿宋_GBK" w:eastAsia="方正仿宋_GBK" w:cs="方正仿宋_GBK"/>
          <w:sz w:val="32"/>
          <w:szCs w:val="32"/>
        </w:rPr>
        <w:t>全区农村陈年垃圾集中清理行动；</w:t>
      </w:r>
    </w:p>
    <w:p w14:paraId="0E493F93">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（2）完成全区非正规垃圾堆放点排查任务和的非正规垃圾堆放点整治任务；</w:t>
      </w:r>
    </w:p>
    <w:p w14:paraId="382387AE">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eastAsia="仿宋_GB2312"/>
          <w:sz w:val="32"/>
          <w:szCs w:val="32"/>
        </w:rPr>
      </w:pPr>
      <w:r>
        <w:rPr>
          <w:rFonts w:hint="eastAsia" w:ascii="Times New Roman" w:hAnsi="Times New Roman" w:eastAsia="仿宋_GB2312" w:cs="Times New Roman"/>
          <w:sz w:val="32"/>
          <w:szCs w:val="32"/>
        </w:rPr>
        <w:t>2.</w:t>
      </w:r>
      <w:r>
        <w:rPr>
          <w:rFonts w:hint="eastAsia" w:ascii="方正仿宋_GBK" w:hAnsi="方正仿宋_GBK" w:eastAsia="方正仿宋_GBK" w:cs="方正仿宋_GBK"/>
          <w:b/>
          <w:bCs/>
          <w:sz w:val="32"/>
          <w:szCs w:val="32"/>
        </w:rPr>
        <w:t xml:space="preserve"> 农业生产废弃物资源化利用：</w:t>
      </w:r>
      <w:r>
        <w:rPr>
          <w:rFonts w:hint="eastAsia" w:ascii="方正仿宋_GBK" w:hAnsi="方正仿宋_GBK" w:eastAsia="方正仿宋_GBK" w:cs="方正仿宋_GBK"/>
          <w:sz w:val="32"/>
          <w:szCs w:val="32"/>
        </w:rPr>
        <w:t>依法关闭或搬迁禁养区内的畜禽养殖场；现有规模化畜禽养殖场粪便污水处理率达到</w:t>
      </w:r>
      <w:r>
        <w:rPr>
          <w:rFonts w:eastAsia="仿宋_GB2312"/>
          <w:sz w:val="32"/>
          <w:szCs w:val="32"/>
        </w:rPr>
        <w:t>65%；</w:t>
      </w:r>
      <w:r>
        <w:rPr>
          <w:rFonts w:hint="eastAsia" w:ascii="方正仿宋_GBK" w:hAnsi="方正仿宋_GBK" w:eastAsia="方正仿宋_GBK" w:cs="方正仿宋_GBK"/>
          <w:sz w:val="32"/>
          <w:szCs w:val="32"/>
        </w:rPr>
        <w:t>秸秆综合利用率达到</w:t>
      </w:r>
      <w:r>
        <w:rPr>
          <w:rFonts w:eastAsia="仿宋_GB2312"/>
          <w:sz w:val="32"/>
          <w:szCs w:val="32"/>
        </w:rPr>
        <w:t>86%；</w:t>
      </w:r>
      <w:r>
        <w:rPr>
          <w:rFonts w:hint="eastAsia" w:ascii="方正仿宋_GBK" w:hAnsi="方正仿宋_GBK" w:eastAsia="方正仿宋_GBK" w:cs="方正仿宋_GBK"/>
          <w:sz w:val="32"/>
          <w:szCs w:val="32"/>
        </w:rPr>
        <w:t>农膜回收率达到</w:t>
      </w:r>
      <w:r>
        <w:rPr>
          <w:rFonts w:eastAsia="仿宋_GB2312"/>
          <w:sz w:val="32"/>
          <w:szCs w:val="32"/>
        </w:rPr>
        <w:t>70%。</w:t>
      </w:r>
    </w:p>
    <w:p w14:paraId="769A5A2A">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eastAsia="仿宋_GB2312"/>
          <w:sz w:val="32"/>
          <w:szCs w:val="32"/>
        </w:rPr>
      </w:pPr>
      <w:r>
        <w:rPr>
          <w:rFonts w:hint="eastAsia" w:ascii="Times New Roman" w:hAnsi="Times New Roman" w:eastAsia="仿宋_GB2312" w:cs="Times New Roman"/>
          <w:sz w:val="32"/>
          <w:szCs w:val="32"/>
        </w:rPr>
        <w:t xml:space="preserve">3. </w:t>
      </w:r>
      <w:r>
        <w:rPr>
          <w:rFonts w:hint="eastAsia" w:ascii="方正仿宋_GBK" w:hAnsi="方正仿宋_GBK" w:eastAsia="方正仿宋_GBK" w:cs="方正仿宋_GBK"/>
          <w:b/>
          <w:bCs/>
          <w:sz w:val="32"/>
          <w:szCs w:val="32"/>
        </w:rPr>
        <w:t>规范处置农村工业固体废物：</w:t>
      </w:r>
      <w:r>
        <w:rPr>
          <w:rFonts w:hint="eastAsia" w:ascii="方正仿宋_GBK" w:hAnsi="方正仿宋_GBK" w:eastAsia="方正仿宋_GBK" w:cs="方正仿宋_GBK"/>
          <w:sz w:val="32"/>
          <w:szCs w:val="32"/>
        </w:rPr>
        <w:t>推动农村地区工业固体废物综合利用，因地制宜发展能源化、建材化等综合利用技术。综合利用率处置达到</w:t>
      </w:r>
      <w:r>
        <w:rPr>
          <w:rFonts w:eastAsia="仿宋_GB2312"/>
          <w:sz w:val="32"/>
          <w:szCs w:val="32"/>
        </w:rPr>
        <w:t>85%。</w:t>
      </w:r>
    </w:p>
    <w:p w14:paraId="67F67109">
      <w:pPr>
        <w:keepNext w:val="0"/>
        <w:keepLines w:val="0"/>
        <w:pageBreakBefore w:val="0"/>
        <w:widowControl w:val="0"/>
        <w:kinsoku/>
        <w:wordWrap/>
        <w:overflowPunct/>
        <w:topLinePunct w:val="0"/>
        <w:autoSpaceDE/>
        <w:autoSpaceDN/>
        <w:bidi w:val="0"/>
        <w:adjustRightInd/>
        <w:snapToGrid/>
        <w:spacing w:line="590" w:lineRule="exact"/>
        <w:ind w:firstLine="643"/>
        <w:textAlignment w:val="auto"/>
        <w:rPr>
          <w:rFonts w:hint="eastAsia" w:ascii="方正楷体_GBK" w:hAnsi="方正楷体_GBK" w:eastAsia="方正楷体_GBK" w:cs="方正楷体_GBK"/>
          <w:b w:val="0"/>
          <w:bCs w:val="0"/>
          <w:sz w:val="32"/>
          <w:szCs w:val="32"/>
        </w:rPr>
      </w:pPr>
      <w:r>
        <w:rPr>
          <w:rFonts w:hint="eastAsia" w:ascii="方正楷体_GBK" w:hAnsi="方正楷体_GBK" w:eastAsia="方正楷体_GBK" w:cs="方正楷体_GBK"/>
          <w:b w:val="0"/>
          <w:bCs w:val="0"/>
          <w:sz w:val="32"/>
          <w:szCs w:val="32"/>
        </w:rPr>
        <w:t>（二）</w:t>
      </w:r>
      <w:r>
        <w:rPr>
          <w:rFonts w:hint="eastAsia" w:ascii="Times New Roman" w:hAnsi="Times New Roman" w:eastAsia="仿宋_GB2312" w:cs="Times New Roman"/>
          <w:b w:val="0"/>
          <w:bCs w:val="0"/>
          <w:sz w:val="32"/>
          <w:szCs w:val="32"/>
        </w:rPr>
        <w:t>2018</w:t>
      </w:r>
      <w:r>
        <w:rPr>
          <w:rFonts w:hint="eastAsia" w:ascii="方正楷体_GBK" w:hAnsi="方正楷体_GBK" w:eastAsia="方正楷体_GBK" w:cs="方正楷体_GBK"/>
          <w:b w:val="0"/>
          <w:bCs w:val="0"/>
          <w:sz w:val="32"/>
          <w:szCs w:val="32"/>
        </w:rPr>
        <w:t>年农村垃圾治理目标</w:t>
      </w:r>
    </w:p>
    <w:p w14:paraId="64D8FE83">
      <w:pPr>
        <w:keepNext w:val="0"/>
        <w:keepLines w:val="0"/>
        <w:pageBreakBefore w:val="0"/>
        <w:widowControl w:val="0"/>
        <w:kinsoku/>
        <w:wordWrap/>
        <w:overflowPunct/>
        <w:topLinePunct w:val="0"/>
        <w:autoSpaceDE/>
        <w:autoSpaceDN/>
        <w:bidi w:val="0"/>
        <w:adjustRightInd/>
        <w:snapToGrid/>
        <w:spacing w:line="590" w:lineRule="exact"/>
        <w:ind w:firstLine="643"/>
        <w:textAlignment w:val="auto"/>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1. 农村生活垃圾治理：</w:t>
      </w:r>
    </w:p>
    <w:p w14:paraId="4960BEB5">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方正仿宋_GBK" w:hAnsi="方正仿宋_GBK" w:eastAsia="方正仿宋_GBK" w:cs="方正仿宋_GBK"/>
          <w:sz w:val="32"/>
          <w:szCs w:val="32"/>
        </w:rPr>
      </w:pPr>
      <w:r>
        <w:rPr>
          <w:rFonts w:hint="eastAsia" w:ascii="Times New Roman" w:hAnsi="Times New Roman" w:eastAsia="仿宋_GB2312" w:cs="Times New Roman"/>
          <w:sz w:val="32"/>
          <w:szCs w:val="32"/>
        </w:rPr>
        <w:t>（1）</w:t>
      </w:r>
      <w:r>
        <w:rPr>
          <w:rFonts w:hint="eastAsia" w:ascii="方正仿宋_GBK" w:hAnsi="方正仿宋_GBK" w:eastAsia="方正仿宋_GBK" w:cs="方正仿宋_GBK"/>
          <w:sz w:val="32"/>
          <w:szCs w:val="32"/>
        </w:rPr>
        <w:t>完成非正规垃圾堆放点整治治理方案的编制、评审等工作；</w:t>
      </w:r>
    </w:p>
    <w:p w14:paraId="68E9B808">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方正仿宋_GBK" w:hAnsi="方正仿宋_GBK" w:eastAsia="方正仿宋_GBK" w:cs="方正仿宋_GBK"/>
          <w:sz w:val="32"/>
          <w:szCs w:val="32"/>
        </w:rPr>
      </w:pPr>
      <w:r>
        <w:rPr>
          <w:rFonts w:hint="eastAsia" w:ascii="Times New Roman" w:hAnsi="Times New Roman" w:eastAsia="仿宋_GB2312" w:cs="Times New Roman"/>
          <w:sz w:val="32"/>
          <w:szCs w:val="32"/>
        </w:rPr>
        <w:t>（2）</w:t>
      </w:r>
      <w:r>
        <w:rPr>
          <w:rFonts w:hint="eastAsia" w:ascii="方正仿宋_GBK" w:hAnsi="方正仿宋_GBK" w:eastAsia="方正仿宋_GBK" w:cs="方正仿宋_GBK"/>
          <w:sz w:val="32"/>
          <w:szCs w:val="32"/>
        </w:rPr>
        <w:t>在全区乡镇选择</w:t>
      </w:r>
      <w:r>
        <w:rPr>
          <w:rFonts w:hint="eastAsia" w:ascii="Times New Roman" w:hAnsi="Times New Roman" w:eastAsia="仿宋_GB2312" w:cs="Times New Roman"/>
          <w:sz w:val="32"/>
          <w:szCs w:val="32"/>
        </w:rPr>
        <w:t>2~3</w:t>
      </w:r>
      <w:r>
        <w:rPr>
          <w:rFonts w:hint="eastAsia" w:ascii="方正仿宋_GBK" w:hAnsi="方正仿宋_GBK" w:eastAsia="方正仿宋_GBK" w:cs="方正仿宋_GBK"/>
          <w:sz w:val="32"/>
          <w:szCs w:val="32"/>
        </w:rPr>
        <w:t>个条件较好的行政村开展农村生活垃圾分类试点；</w:t>
      </w:r>
    </w:p>
    <w:p w14:paraId="056531D7">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方正仿宋_GBK" w:hAnsi="方正仿宋_GBK" w:eastAsia="方正仿宋_GBK" w:cs="方正仿宋_GBK"/>
          <w:sz w:val="32"/>
          <w:szCs w:val="32"/>
        </w:rPr>
      </w:pPr>
      <w:r>
        <w:rPr>
          <w:rFonts w:hint="eastAsia" w:ascii="Times New Roman" w:hAnsi="Times New Roman" w:eastAsia="仿宋_GB2312" w:cs="Times New Roman"/>
          <w:sz w:val="32"/>
          <w:szCs w:val="32"/>
        </w:rPr>
        <w:t>（3）</w:t>
      </w:r>
      <w:r>
        <w:rPr>
          <w:rFonts w:hint="eastAsia" w:ascii="方正仿宋_GBK" w:hAnsi="方正仿宋_GBK" w:eastAsia="方正仿宋_GBK" w:cs="方正仿宋_GBK"/>
          <w:sz w:val="32"/>
          <w:szCs w:val="32"/>
        </w:rPr>
        <w:t>初步建立农村环卫作业一体化体系。</w:t>
      </w:r>
    </w:p>
    <w:p w14:paraId="483229E4">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eastAsia="仿宋_GB2312"/>
          <w:sz w:val="32"/>
          <w:szCs w:val="32"/>
        </w:rPr>
      </w:pPr>
      <w:r>
        <w:rPr>
          <w:rFonts w:hint="eastAsia" w:ascii="Times New Roman" w:hAnsi="Times New Roman" w:eastAsia="仿宋_GB2312" w:cs="Times New Roman"/>
          <w:sz w:val="32"/>
          <w:szCs w:val="32"/>
        </w:rPr>
        <w:t xml:space="preserve">2. </w:t>
      </w:r>
      <w:r>
        <w:rPr>
          <w:rFonts w:hint="eastAsia" w:ascii="方正仿宋_GBK" w:hAnsi="方正仿宋_GBK" w:eastAsia="方正仿宋_GBK" w:cs="方正仿宋_GBK"/>
          <w:b/>
          <w:bCs/>
          <w:sz w:val="32"/>
          <w:szCs w:val="32"/>
        </w:rPr>
        <w:t>农业生产废弃物资源化利用：</w:t>
      </w:r>
      <w:r>
        <w:rPr>
          <w:rFonts w:hint="eastAsia" w:ascii="方正仿宋_GBK" w:hAnsi="方正仿宋_GBK" w:eastAsia="方正仿宋_GBK" w:cs="方正仿宋_GBK"/>
          <w:sz w:val="32"/>
          <w:szCs w:val="32"/>
        </w:rPr>
        <w:t>规模化畜禽养殖场粪便污水处理率达到</w:t>
      </w:r>
      <w:r>
        <w:rPr>
          <w:rFonts w:eastAsia="仿宋_GB2312"/>
          <w:sz w:val="32"/>
          <w:szCs w:val="32"/>
        </w:rPr>
        <w:t>68%；</w:t>
      </w:r>
      <w:r>
        <w:rPr>
          <w:rFonts w:hint="eastAsia" w:ascii="方正仿宋_GBK" w:hAnsi="方正仿宋_GBK" w:eastAsia="方正仿宋_GBK" w:cs="方正仿宋_GBK"/>
          <w:sz w:val="32"/>
          <w:szCs w:val="32"/>
        </w:rPr>
        <w:t>秸秆综合利用率达到</w:t>
      </w:r>
      <w:r>
        <w:rPr>
          <w:rFonts w:eastAsia="仿宋_GB2312"/>
          <w:sz w:val="32"/>
          <w:szCs w:val="32"/>
        </w:rPr>
        <w:t>87%；</w:t>
      </w:r>
      <w:r>
        <w:rPr>
          <w:rFonts w:hint="eastAsia" w:ascii="方正仿宋_GBK" w:hAnsi="方正仿宋_GBK" w:eastAsia="方正仿宋_GBK" w:cs="方正仿宋_GBK"/>
          <w:sz w:val="32"/>
          <w:szCs w:val="32"/>
        </w:rPr>
        <w:t>农膜回收率达到</w:t>
      </w:r>
      <w:r>
        <w:rPr>
          <w:rFonts w:eastAsia="仿宋_GB2312"/>
          <w:sz w:val="32"/>
          <w:szCs w:val="32"/>
        </w:rPr>
        <w:t>73%。</w:t>
      </w:r>
    </w:p>
    <w:p w14:paraId="62853EAB">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eastAsia="仿宋_GB2312"/>
          <w:sz w:val="32"/>
          <w:szCs w:val="32"/>
        </w:rPr>
      </w:pPr>
      <w:r>
        <w:rPr>
          <w:rFonts w:hint="eastAsia" w:ascii="Times New Roman" w:hAnsi="Times New Roman" w:eastAsia="仿宋_GB2312" w:cs="Times New Roman"/>
          <w:sz w:val="32"/>
          <w:szCs w:val="32"/>
        </w:rPr>
        <w:t xml:space="preserve">3. </w:t>
      </w:r>
      <w:r>
        <w:rPr>
          <w:rFonts w:hint="eastAsia" w:ascii="方正仿宋_GBK" w:hAnsi="方正仿宋_GBK" w:eastAsia="方正仿宋_GBK" w:cs="方正仿宋_GBK"/>
          <w:b/>
          <w:bCs/>
          <w:sz w:val="32"/>
          <w:szCs w:val="32"/>
        </w:rPr>
        <w:t>规范处置农村工业固体废物：</w:t>
      </w:r>
      <w:r>
        <w:rPr>
          <w:rFonts w:hint="eastAsia" w:ascii="方正仿宋_GBK" w:hAnsi="方正仿宋_GBK" w:eastAsia="方正仿宋_GBK" w:cs="方正仿宋_GBK"/>
          <w:sz w:val="32"/>
          <w:szCs w:val="32"/>
        </w:rPr>
        <w:t>农村工业固体废物综合利用处置率达到</w:t>
      </w:r>
      <w:r>
        <w:rPr>
          <w:rFonts w:eastAsia="仿宋_GB2312"/>
          <w:sz w:val="32"/>
          <w:szCs w:val="32"/>
        </w:rPr>
        <w:t>86%。</w:t>
      </w:r>
    </w:p>
    <w:p w14:paraId="40C609C5">
      <w:pPr>
        <w:keepNext w:val="0"/>
        <w:keepLines w:val="0"/>
        <w:pageBreakBefore w:val="0"/>
        <w:widowControl w:val="0"/>
        <w:kinsoku/>
        <w:wordWrap/>
        <w:overflowPunct/>
        <w:topLinePunct w:val="0"/>
        <w:autoSpaceDE/>
        <w:autoSpaceDN/>
        <w:bidi w:val="0"/>
        <w:adjustRightInd/>
        <w:snapToGrid/>
        <w:spacing w:line="590" w:lineRule="exact"/>
        <w:ind w:firstLine="643"/>
        <w:textAlignment w:val="auto"/>
        <w:rPr>
          <w:rFonts w:hint="eastAsia" w:ascii="方正楷体_GBK" w:hAnsi="方正楷体_GBK" w:eastAsia="方正楷体_GBK" w:cs="方正楷体_GBK"/>
          <w:b w:val="0"/>
          <w:bCs w:val="0"/>
          <w:sz w:val="32"/>
          <w:szCs w:val="32"/>
        </w:rPr>
      </w:pPr>
      <w:r>
        <w:rPr>
          <w:rFonts w:hint="eastAsia" w:ascii="方正楷体_GBK" w:hAnsi="方正楷体_GBK" w:eastAsia="方正楷体_GBK" w:cs="方正楷体_GBK"/>
          <w:b w:val="0"/>
          <w:bCs w:val="0"/>
          <w:sz w:val="32"/>
          <w:szCs w:val="32"/>
        </w:rPr>
        <w:t>（三）</w:t>
      </w:r>
      <w:r>
        <w:rPr>
          <w:rFonts w:hint="eastAsia" w:ascii="Times New Roman" w:hAnsi="Times New Roman" w:eastAsia="仿宋_GB2312" w:cs="Times New Roman"/>
          <w:b w:val="0"/>
          <w:bCs w:val="0"/>
          <w:sz w:val="32"/>
          <w:szCs w:val="32"/>
        </w:rPr>
        <w:t>2019</w:t>
      </w:r>
      <w:r>
        <w:rPr>
          <w:rFonts w:hint="eastAsia" w:ascii="方正楷体_GBK" w:hAnsi="方正楷体_GBK" w:eastAsia="方正楷体_GBK" w:cs="方正楷体_GBK"/>
          <w:b w:val="0"/>
          <w:bCs w:val="0"/>
          <w:sz w:val="32"/>
          <w:szCs w:val="32"/>
        </w:rPr>
        <w:t>年农村垃圾治理目标</w:t>
      </w:r>
    </w:p>
    <w:p w14:paraId="350FE281">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eastAsia="仿宋_GB2312"/>
          <w:b/>
          <w:bCs/>
          <w:sz w:val="32"/>
          <w:szCs w:val="32"/>
        </w:rPr>
      </w:pPr>
      <w:r>
        <w:rPr>
          <w:rFonts w:hint="eastAsia" w:ascii="Times New Roman" w:hAnsi="Times New Roman" w:eastAsia="仿宋_GB2312" w:cs="Times New Roman"/>
          <w:sz w:val="32"/>
          <w:szCs w:val="32"/>
        </w:rPr>
        <w:t xml:space="preserve">1. </w:t>
      </w:r>
      <w:r>
        <w:rPr>
          <w:rFonts w:hint="eastAsia" w:ascii="方正仿宋_GBK" w:hAnsi="方正仿宋_GBK" w:eastAsia="方正仿宋_GBK" w:cs="方正仿宋_GBK"/>
          <w:b/>
          <w:bCs/>
          <w:sz w:val="32"/>
          <w:szCs w:val="32"/>
        </w:rPr>
        <w:t>农村生活垃圾治理</w:t>
      </w:r>
      <w:r>
        <w:rPr>
          <w:rFonts w:eastAsia="仿宋_GB2312"/>
          <w:b/>
          <w:bCs/>
          <w:sz w:val="32"/>
          <w:szCs w:val="32"/>
        </w:rPr>
        <w:t>：</w:t>
      </w:r>
    </w:p>
    <w:p w14:paraId="667C3E86">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方正仿宋_GBK" w:hAnsi="方正仿宋_GBK" w:eastAsia="方正仿宋_GBK" w:cs="方正仿宋_GBK"/>
          <w:sz w:val="32"/>
          <w:szCs w:val="32"/>
        </w:rPr>
      </w:pPr>
      <w:r>
        <w:rPr>
          <w:rFonts w:hint="eastAsia" w:ascii="Times New Roman" w:hAnsi="Times New Roman" w:eastAsia="仿宋_GB2312" w:cs="Times New Roman"/>
          <w:sz w:val="32"/>
          <w:szCs w:val="32"/>
        </w:rPr>
        <w:t>（1）</w:t>
      </w:r>
      <w:r>
        <w:rPr>
          <w:rFonts w:hint="eastAsia" w:ascii="方正仿宋_GBK" w:hAnsi="方正仿宋_GBK" w:eastAsia="方正仿宋_GBK" w:cs="方正仿宋_GBK"/>
          <w:sz w:val="32"/>
          <w:szCs w:val="32"/>
        </w:rPr>
        <w:t>全面完成全区非正规垃圾堆放点整治任务；</w:t>
      </w:r>
    </w:p>
    <w:p w14:paraId="62A85E8A">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方正仿宋_GBK" w:hAnsi="方正仿宋_GBK" w:eastAsia="方正仿宋_GBK" w:cs="方正仿宋_GBK"/>
          <w:sz w:val="32"/>
          <w:szCs w:val="32"/>
        </w:rPr>
      </w:pPr>
      <w:r>
        <w:rPr>
          <w:rFonts w:hint="eastAsia" w:ascii="Times New Roman" w:hAnsi="Times New Roman" w:eastAsia="仿宋_GB2312" w:cs="Times New Roman"/>
          <w:sz w:val="32"/>
          <w:szCs w:val="32"/>
        </w:rPr>
        <w:t>（2）</w:t>
      </w:r>
      <w:r>
        <w:rPr>
          <w:rFonts w:hint="eastAsia" w:ascii="方正仿宋_GBK" w:hAnsi="方正仿宋_GBK" w:eastAsia="方正仿宋_GBK" w:cs="方正仿宋_GBK"/>
          <w:sz w:val="32"/>
          <w:szCs w:val="32"/>
        </w:rPr>
        <w:t>在全区乡镇和行政村开展农村生活垃圾分类；</w:t>
      </w:r>
    </w:p>
    <w:p w14:paraId="3D14BF63">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方正仿宋_GBK" w:hAnsi="方正仿宋_GBK" w:eastAsia="方正仿宋_GBK" w:cs="方正仿宋_GBK"/>
          <w:sz w:val="32"/>
          <w:szCs w:val="32"/>
        </w:rPr>
      </w:pPr>
      <w:r>
        <w:rPr>
          <w:rFonts w:hint="eastAsia" w:ascii="Times New Roman" w:hAnsi="Times New Roman" w:eastAsia="仿宋_GB2312" w:cs="Times New Roman"/>
          <w:sz w:val="32"/>
          <w:szCs w:val="32"/>
        </w:rPr>
        <w:t>（3）</w:t>
      </w:r>
      <w:r>
        <w:rPr>
          <w:rFonts w:hint="eastAsia" w:ascii="方正仿宋_GBK" w:hAnsi="方正仿宋_GBK" w:eastAsia="方正仿宋_GBK" w:cs="方正仿宋_GBK"/>
          <w:bCs/>
          <w:sz w:val="32"/>
          <w:szCs w:val="32"/>
        </w:rPr>
        <w:t>完善</w:t>
      </w:r>
      <w:r>
        <w:rPr>
          <w:rFonts w:hint="eastAsia" w:ascii="方正仿宋_GBK" w:hAnsi="方正仿宋_GBK" w:eastAsia="方正仿宋_GBK" w:cs="方正仿宋_GBK"/>
          <w:sz w:val="32"/>
          <w:szCs w:val="32"/>
        </w:rPr>
        <w:t>健全农村环卫作业一体化运行体系。</w:t>
      </w:r>
    </w:p>
    <w:p w14:paraId="55812DEB">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eastAsia="仿宋_GB2312"/>
          <w:sz w:val="32"/>
          <w:szCs w:val="32"/>
        </w:rPr>
      </w:pPr>
      <w:r>
        <w:rPr>
          <w:rFonts w:hint="eastAsia" w:ascii="Times New Roman" w:hAnsi="Times New Roman" w:eastAsia="仿宋_GB2312" w:cs="Times New Roman"/>
          <w:sz w:val="32"/>
          <w:szCs w:val="32"/>
        </w:rPr>
        <w:t xml:space="preserve">2. </w:t>
      </w:r>
      <w:r>
        <w:rPr>
          <w:rFonts w:hint="eastAsia" w:ascii="方正仿宋_GBK" w:hAnsi="方正仿宋_GBK" w:eastAsia="方正仿宋_GBK" w:cs="方正仿宋_GBK"/>
          <w:b/>
          <w:bCs/>
          <w:sz w:val="32"/>
          <w:szCs w:val="32"/>
        </w:rPr>
        <w:t>农业生产废弃物资源化利用：</w:t>
      </w:r>
      <w:r>
        <w:rPr>
          <w:rFonts w:hint="eastAsia" w:ascii="方正仿宋_GBK" w:hAnsi="方正仿宋_GBK" w:eastAsia="方正仿宋_GBK" w:cs="方正仿宋_GBK"/>
          <w:sz w:val="32"/>
          <w:szCs w:val="32"/>
        </w:rPr>
        <w:t>规模化畜禽养殖场粪便污水处理率达到</w:t>
      </w:r>
      <w:r>
        <w:rPr>
          <w:rFonts w:eastAsia="仿宋_GB2312"/>
          <w:sz w:val="32"/>
          <w:szCs w:val="32"/>
        </w:rPr>
        <w:t>72%；</w:t>
      </w:r>
      <w:r>
        <w:rPr>
          <w:rFonts w:hint="eastAsia" w:ascii="方正仿宋_GBK" w:hAnsi="方正仿宋_GBK" w:eastAsia="方正仿宋_GBK" w:cs="方正仿宋_GBK"/>
          <w:sz w:val="32"/>
          <w:szCs w:val="32"/>
        </w:rPr>
        <w:t>秸秆综合利用率达到</w:t>
      </w:r>
      <w:r>
        <w:rPr>
          <w:rFonts w:eastAsia="仿宋_GB2312"/>
          <w:sz w:val="32"/>
          <w:szCs w:val="32"/>
        </w:rPr>
        <w:t>88%；</w:t>
      </w:r>
      <w:r>
        <w:rPr>
          <w:rFonts w:hint="eastAsia" w:ascii="方正仿宋_GBK" w:hAnsi="方正仿宋_GBK" w:eastAsia="方正仿宋_GBK" w:cs="方正仿宋_GBK"/>
          <w:sz w:val="32"/>
          <w:szCs w:val="32"/>
        </w:rPr>
        <w:t>农膜回收率达到</w:t>
      </w:r>
      <w:r>
        <w:rPr>
          <w:rFonts w:eastAsia="仿宋_GB2312"/>
          <w:sz w:val="32"/>
          <w:szCs w:val="32"/>
        </w:rPr>
        <w:t>76%。</w:t>
      </w:r>
    </w:p>
    <w:p w14:paraId="3DBF623D">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eastAsia="仿宋_GB2312"/>
          <w:b/>
          <w:bCs/>
          <w:sz w:val="32"/>
          <w:szCs w:val="32"/>
        </w:rPr>
      </w:pPr>
      <w:r>
        <w:rPr>
          <w:rFonts w:hint="eastAsia" w:ascii="Times New Roman" w:hAnsi="Times New Roman" w:eastAsia="仿宋_GB2312" w:cs="Times New Roman"/>
          <w:sz w:val="32"/>
          <w:szCs w:val="32"/>
        </w:rPr>
        <w:t xml:space="preserve">3. </w:t>
      </w:r>
      <w:r>
        <w:rPr>
          <w:rFonts w:hint="eastAsia" w:ascii="方正仿宋_GBK" w:hAnsi="方正仿宋_GBK" w:eastAsia="方正仿宋_GBK" w:cs="方正仿宋_GBK"/>
          <w:b/>
          <w:bCs/>
          <w:sz w:val="32"/>
          <w:szCs w:val="32"/>
        </w:rPr>
        <w:t>规范处置农村工业固体废物：</w:t>
      </w:r>
      <w:r>
        <w:rPr>
          <w:rFonts w:hint="eastAsia" w:ascii="方正仿宋_GBK" w:hAnsi="方正仿宋_GBK" w:eastAsia="方正仿宋_GBK" w:cs="方正仿宋_GBK"/>
          <w:sz w:val="32"/>
          <w:szCs w:val="32"/>
        </w:rPr>
        <w:t>农村工业固体废物综合利用处置率达到</w:t>
      </w:r>
      <w:r>
        <w:rPr>
          <w:rFonts w:eastAsia="仿宋_GB2312"/>
          <w:sz w:val="32"/>
          <w:szCs w:val="32"/>
        </w:rPr>
        <w:t>90%。</w:t>
      </w:r>
    </w:p>
    <w:p w14:paraId="249429F4">
      <w:pPr>
        <w:keepNext w:val="0"/>
        <w:keepLines w:val="0"/>
        <w:pageBreakBefore w:val="0"/>
        <w:widowControl w:val="0"/>
        <w:kinsoku/>
        <w:wordWrap/>
        <w:overflowPunct/>
        <w:topLinePunct w:val="0"/>
        <w:autoSpaceDE/>
        <w:autoSpaceDN/>
        <w:bidi w:val="0"/>
        <w:adjustRightInd/>
        <w:snapToGrid/>
        <w:spacing w:line="590" w:lineRule="exact"/>
        <w:ind w:firstLine="643"/>
        <w:textAlignment w:val="auto"/>
        <w:rPr>
          <w:rFonts w:eastAsia="楷体_GB2312"/>
          <w:b w:val="0"/>
          <w:bCs w:val="0"/>
          <w:sz w:val="32"/>
          <w:szCs w:val="32"/>
        </w:rPr>
      </w:pPr>
      <w:r>
        <w:rPr>
          <w:rFonts w:eastAsia="楷体_GB2312"/>
          <w:b w:val="0"/>
          <w:bCs w:val="0"/>
          <w:sz w:val="32"/>
          <w:szCs w:val="32"/>
        </w:rPr>
        <w:t>（四）2020</w:t>
      </w:r>
      <w:r>
        <w:rPr>
          <w:rFonts w:hint="eastAsia" w:ascii="方正楷体_GBK" w:hAnsi="方正楷体_GBK" w:eastAsia="方正楷体_GBK" w:cs="方正楷体_GBK"/>
          <w:b w:val="0"/>
          <w:bCs w:val="0"/>
          <w:sz w:val="32"/>
          <w:szCs w:val="32"/>
        </w:rPr>
        <w:t>年农村垃圾治理目标</w:t>
      </w:r>
    </w:p>
    <w:p w14:paraId="21286985">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方正仿宋_GBK" w:hAnsi="方正仿宋_GBK" w:eastAsia="方正仿宋_GBK" w:cs="方正仿宋_GBK"/>
          <w:b/>
          <w:bCs/>
          <w:sz w:val="32"/>
          <w:szCs w:val="32"/>
        </w:rPr>
      </w:pPr>
      <w:r>
        <w:rPr>
          <w:rFonts w:hint="eastAsia" w:ascii="Times New Roman" w:hAnsi="Times New Roman" w:eastAsia="仿宋_GB2312" w:cs="Times New Roman"/>
          <w:sz w:val="32"/>
          <w:szCs w:val="32"/>
        </w:rPr>
        <w:t xml:space="preserve">1. </w:t>
      </w:r>
      <w:r>
        <w:rPr>
          <w:rFonts w:hint="eastAsia" w:ascii="方正仿宋_GBK" w:hAnsi="方正仿宋_GBK" w:eastAsia="方正仿宋_GBK" w:cs="方正仿宋_GBK"/>
          <w:b/>
          <w:bCs/>
          <w:sz w:val="32"/>
          <w:szCs w:val="32"/>
        </w:rPr>
        <w:t>农村生活垃圾治理：</w:t>
      </w:r>
    </w:p>
    <w:p w14:paraId="146EE476">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方正仿宋_GBK" w:hAnsi="方正仿宋_GBK" w:eastAsia="方正仿宋_GBK" w:cs="方正仿宋_GBK"/>
          <w:sz w:val="32"/>
          <w:szCs w:val="32"/>
        </w:rPr>
      </w:pPr>
      <w:r>
        <w:rPr>
          <w:rFonts w:hint="eastAsia" w:ascii="Times New Roman" w:hAnsi="Times New Roman" w:eastAsia="仿宋_GB2312" w:cs="Times New Roman"/>
          <w:sz w:val="32"/>
          <w:szCs w:val="32"/>
        </w:rPr>
        <w:t>（1）</w:t>
      </w:r>
      <w:r>
        <w:rPr>
          <w:rFonts w:hint="eastAsia" w:ascii="方正仿宋_GBK" w:hAnsi="方正仿宋_GBK" w:eastAsia="方正仿宋_GBK" w:cs="方正仿宋_GBK"/>
          <w:sz w:val="32"/>
          <w:szCs w:val="32"/>
        </w:rPr>
        <w:t>基本建成农村环卫作业一体化运行体系；</w:t>
      </w:r>
    </w:p>
    <w:p w14:paraId="45020D14">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方正仿宋_GBK" w:hAnsi="方正仿宋_GBK" w:eastAsia="方正仿宋_GBK" w:cs="方正仿宋_GBK"/>
          <w:sz w:val="32"/>
          <w:szCs w:val="32"/>
        </w:rPr>
      </w:pPr>
      <w:r>
        <w:rPr>
          <w:rFonts w:hint="eastAsia" w:ascii="Times New Roman" w:hAnsi="Times New Roman" w:eastAsia="仿宋_GB2312" w:cs="Times New Roman"/>
          <w:sz w:val="32"/>
          <w:szCs w:val="32"/>
        </w:rPr>
        <w:t>（2）</w:t>
      </w:r>
      <w:r>
        <w:rPr>
          <w:rFonts w:hint="eastAsia" w:ascii="方正仿宋_GBK" w:hAnsi="方正仿宋_GBK" w:eastAsia="方正仿宋_GBK" w:cs="方正仿宋_GBK"/>
          <w:bCs/>
          <w:sz w:val="32"/>
          <w:szCs w:val="32"/>
        </w:rPr>
        <w:t>在全域推广</w:t>
      </w:r>
      <w:r>
        <w:rPr>
          <w:rFonts w:hint="eastAsia" w:ascii="方正仿宋_GBK" w:hAnsi="方正仿宋_GBK" w:eastAsia="方正仿宋_GBK" w:cs="方正仿宋_GBK"/>
          <w:sz w:val="32"/>
          <w:szCs w:val="32"/>
        </w:rPr>
        <w:t>开展农村生活垃圾分类工作，初步建立“分类收集、定点投放、回收利用、末端处置”的运行体系。</w:t>
      </w:r>
    </w:p>
    <w:p w14:paraId="70D99FFA">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eastAsia="仿宋_GB2312"/>
          <w:sz w:val="32"/>
          <w:szCs w:val="32"/>
        </w:rPr>
      </w:pPr>
      <w:r>
        <w:rPr>
          <w:rFonts w:hint="eastAsia" w:ascii="Times New Roman" w:hAnsi="Times New Roman" w:eastAsia="仿宋_GB2312" w:cs="Times New Roman"/>
          <w:sz w:val="32"/>
          <w:szCs w:val="32"/>
        </w:rPr>
        <w:t xml:space="preserve">2. </w:t>
      </w:r>
      <w:r>
        <w:rPr>
          <w:rFonts w:hint="eastAsia" w:ascii="方正仿宋_GBK" w:hAnsi="方正仿宋_GBK" w:eastAsia="方正仿宋_GBK" w:cs="方正仿宋_GBK"/>
          <w:b/>
          <w:bCs/>
          <w:sz w:val="32"/>
          <w:szCs w:val="32"/>
        </w:rPr>
        <w:t>农业生产废弃物资源化利用：</w:t>
      </w:r>
      <w:r>
        <w:rPr>
          <w:rFonts w:hint="eastAsia" w:ascii="方正仿宋_GBK" w:hAnsi="方正仿宋_GBK" w:eastAsia="方正仿宋_GBK" w:cs="方正仿宋_GBK"/>
          <w:sz w:val="32"/>
          <w:szCs w:val="32"/>
        </w:rPr>
        <w:t>规模化畜禽养殖场粪便污水处理率达到</w:t>
      </w:r>
      <w:r>
        <w:rPr>
          <w:rFonts w:eastAsia="仿宋_GB2312"/>
          <w:sz w:val="32"/>
          <w:szCs w:val="32"/>
        </w:rPr>
        <w:t>80%</w:t>
      </w:r>
      <w:r>
        <w:rPr>
          <w:rFonts w:hint="eastAsia" w:ascii="方正仿宋_GBK" w:hAnsi="方正仿宋_GBK" w:eastAsia="方正仿宋_GBK" w:cs="方正仿宋_GBK"/>
          <w:sz w:val="32"/>
          <w:szCs w:val="32"/>
        </w:rPr>
        <w:t>以上；秸秆综合利用率达到</w:t>
      </w:r>
      <w:r>
        <w:rPr>
          <w:rFonts w:eastAsia="仿宋_GB2312"/>
          <w:sz w:val="32"/>
          <w:szCs w:val="32"/>
        </w:rPr>
        <w:t>90%</w:t>
      </w:r>
      <w:r>
        <w:rPr>
          <w:rFonts w:hint="eastAsia" w:ascii="方正仿宋_GBK" w:hAnsi="方正仿宋_GBK" w:eastAsia="方正仿宋_GBK" w:cs="方正仿宋_GBK"/>
          <w:sz w:val="32"/>
          <w:szCs w:val="32"/>
        </w:rPr>
        <w:t>以上；农膜回收率达到</w:t>
      </w:r>
      <w:r>
        <w:rPr>
          <w:rFonts w:eastAsia="仿宋_GB2312"/>
          <w:sz w:val="32"/>
          <w:szCs w:val="32"/>
        </w:rPr>
        <w:t>80%</w:t>
      </w:r>
      <w:r>
        <w:rPr>
          <w:rFonts w:hint="eastAsia" w:ascii="方正仿宋_GBK" w:hAnsi="方正仿宋_GBK" w:eastAsia="方正仿宋_GBK" w:cs="方正仿宋_GBK"/>
          <w:sz w:val="32"/>
          <w:szCs w:val="32"/>
        </w:rPr>
        <w:t>左右</w:t>
      </w:r>
      <w:r>
        <w:rPr>
          <w:rFonts w:eastAsia="仿宋_GB2312"/>
          <w:sz w:val="32"/>
          <w:szCs w:val="32"/>
        </w:rPr>
        <w:t>。</w:t>
      </w:r>
    </w:p>
    <w:p w14:paraId="34AF5F0E">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eastAsia="仿宋_GB2312"/>
          <w:sz w:val="32"/>
          <w:szCs w:val="32"/>
        </w:rPr>
      </w:pPr>
      <w:r>
        <w:rPr>
          <w:rFonts w:hint="eastAsia" w:ascii="Times New Roman" w:hAnsi="Times New Roman" w:eastAsia="仿宋_GB2312" w:cs="Times New Roman"/>
          <w:sz w:val="32"/>
          <w:szCs w:val="32"/>
        </w:rPr>
        <w:t xml:space="preserve">3. </w:t>
      </w:r>
      <w:r>
        <w:rPr>
          <w:rFonts w:hint="eastAsia" w:ascii="方正仿宋_GBK" w:hAnsi="方正仿宋_GBK" w:eastAsia="方正仿宋_GBK" w:cs="方正仿宋_GBK"/>
          <w:b/>
          <w:bCs/>
          <w:sz w:val="32"/>
          <w:szCs w:val="32"/>
        </w:rPr>
        <w:t>规范处置农村工业固体废物：</w:t>
      </w:r>
      <w:r>
        <w:rPr>
          <w:rFonts w:hint="eastAsia" w:ascii="方正仿宋_GBK" w:hAnsi="方正仿宋_GBK" w:eastAsia="方正仿宋_GBK" w:cs="方正仿宋_GBK"/>
          <w:sz w:val="32"/>
          <w:szCs w:val="32"/>
        </w:rPr>
        <w:t>农村工业固体废物综合利用处置率达到</w:t>
      </w:r>
      <w:r>
        <w:rPr>
          <w:rFonts w:eastAsia="仿宋_GB2312"/>
          <w:sz w:val="32"/>
          <w:szCs w:val="32"/>
        </w:rPr>
        <w:t>95%。</w:t>
      </w:r>
    </w:p>
    <w:p w14:paraId="2183F782">
      <w:pPr>
        <w:keepNext w:val="0"/>
        <w:keepLines w:val="0"/>
        <w:pageBreakBefore w:val="0"/>
        <w:widowControl w:val="0"/>
        <w:kinsoku/>
        <w:wordWrap/>
        <w:overflowPunct/>
        <w:topLinePunct w:val="0"/>
        <w:autoSpaceDE/>
        <w:autoSpaceDN/>
        <w:bidi w:val="0"/>
        <w:adjustRightInd/>
        <w:snapToGrid/>
        <w:spacing w:line="590" w:lineRule="exact"/>
        <w:ind w:firstLine="64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二、整治原则</w:t>
      </w:r>
    </w:p>
    <w:p w14:paraId="10E1FB3E">
      <w:pPr>
        <w:keepNext w:val="0"/>
        <w:keepLines w:val="0"/>
        <w:pageBreakBefore w:val="0"/>
        <w:widowControl w:val="0"/>
        <w:kinsoku/>
        <w:wordWrap/>
        <w:overflowPunct/>
        <w:topLinePunct w:val="0"/>
        <w:autoSpaceDE/>
        <w:autoSpaceDN/>
        <w:bidi w:val="0"/>
        <w:adjustRightInd/>
        <w:snapToGrid/>
        <w:spacing w:line="590" w:lineRule="exact"/>
        <w:ind w:firstLine="640"/>
        <w:jc w:val="left"/>
        <w:textAlignment w:val="auto"/>
        <w:rPr>
          <w:rFonts w:hint="eastAsia" w:ascii="方正仿宋_GBK" w:hAnsi="方正仿宋_GBK" w:eastAsia="方正仿宋_GBK" w:cs="方正仿宋_GBK"/>
          <w:sz w:val="32"/>
          <w:szCs w:val="32"/>
        </w:rPr>
      </w:pPr>
      <w:r>
        <w:rPr>
          <w:rFonts w:hint="eastAsia" w:ascii="Times New Roman" w:hAnsi="Times New Roman" w:eastAsia="仿宋_GB2312" w:cs="Times New Roman"/>
          <w:b w:val="0"/>
          <w:bCs w:val="0"/>
          <w:sz w:val="32"/>
          <w:szCs w:val="32"/>
        </w:rPr>
        <w:t>1．</w:t>
      </w:r>
      <w:r>
        <w:rPr>
          <w:rFonts w:hint="eastAsia" w:ascii="方正仿宋_GBK" w:hAnsi="方正仿宋_GBK" w:eastAsia="方正仿宋_GBK" w:cs="方正仿宋_GBK"/>
          <w:b/>
          <w:bCs/>
          <w:sz w:val="32"/>
          <w:szCs w:val="32"/>
        </w:rPr>
        <w:t>组织到位，广泛参与。</w:t>
      </w:r>
      <w:r>
        <w:rPr>
          <w:rFonts w:hint="eastAsia" w:ascii="方正仿宋_GBK" w:hAnsi="方正仿宋_GBK" w:eastAsia="方正仿宋_GBK" w:cs="方正仿宋_GBK"/>
          <w:sz w:val="32"/>
          <w:szCs w:val="32"/>
        </w:rPr>
        <w:t>乡镇办、社区要高度重视农村环境综合整治工作，成立相应组织机构，实行党政领导负责制。采取多种有效形式，广泛宣传农村环境综合整治的重要性和必要性，调动一切积极因素，动员干部群众自觉参与到农村环境综合整治工作中来。</w:t>
      </w:r>
    </w:p>
    <w:p w14:paraId="7CDA3536">
      <w:pPr>
        <w:keepNext w:val="0"/>
        <w:keepLines w:val="0"/>
        <w:pageBreakBefore w:val="0"/>
        <w:widowControl w:val="0"/>
        <w:kinsoku/>
        <w:wordWrap/>
        <w:overflowPunct/>
        <w:topLinePunct w:val="0"/>
        <w:autoSpaceDE/>
        <w:autoSpaceDN/>
        <w:bidi w:val="0"/>
        <w:adjustRightInd/>
        <w:snapToGrid/>
        <w:spacing w:line="590" w:lineRule="exact"/>
        <w:ind w:firstLine="640"/>
        <w:jc w:val="left"/>
        <w:textAlignment w:val="auto"/>
        <w:rPr>
          <w:rFonts w:hint="eastAsia" w:ascii="方正仿宋_GBK" w:hAnsi="方正仿宋_GBK" w:eastAsia="方正仿宋_GBK" w:cs="方正仿宋_GBK"/>
          <w:sz w:val="32"/>
          <w:szCs w:val="32"/>
        </w:rPr>
      </w:pPr>
      <w:r>
        <w:rPr>
          <w:rFonts w:hint="eastAsia" w:ascii="Times New Roman" w:hAnsi="Times New Roman" w:eastAsia="仿宋_GB2312" w:cs="Times New Roman"/>
          <w:sz w:val="32"/>
          <w:szCs w:val="32"/>
        </w:rPr>
        <w:t>2．</w:t>
      </w:r>
      <w:r>
        <w:rPr>
          <w:rFonts w:hint="eastAsia" w:ascii="方正仿宋_GBK" w:hAnsi="方正仿宋_GBK" w:eastAsia="方正仿宋_GBK" w:cs="方正仿宋_GBK"/>
          <w:b/>
          <w:sz w:val="32"/>
          <w:szCs w:val="32"/>
        </w:rPr>
        <w:t>抓住重点，分类推进。</w:t>
      </w:r>
      <w:r>
        <w:rPr>
          <w:rFonts w:hint="eastAsia" w:ascii="方正仿宋_GBK" w:hAnsi="方正仿宋_GBK" w:eastAsia="方正仿宋_GBK" w:cs="方正仿宋_GBK"/>
          <w:sz w:val="32"/>
          <w:szCs w:val="32"/>
        </w:rPr>
        <w:t>面上坚持与省级中心村、市级中心村建设相结合，同时与乡镇办、社区政府驻地整治相联动。准确把握各农村的区位特色，重点整治公路沿线、江堤沿线、镇区周边、风景区周边、湖泊周边的农村。</w:t>
      </w:r>
    </w:p>
    <w:p w14:paraId="19304215">
      <w:pPr>
        <w:keepNext w:val="0"/>
        <w:keepLines w:val="0"/>
        <w:pageBreakBefore w:val="0"/>
        <w:widowControl w:val="0"/>
        <w:kinsoku/>
        <w:wordWrap/>
        <w:overflowPunct/>
        <w:topLinePunct w:val="0"/>
        <w:autoSpaceDE/>
        <w:autoSpaceDN/>
        <w:bidi w:val="0"/>
        <w:adjustRightInd/>
        <w:snapToGrid/>
        <w:spacing w:line="590" w:lineRule="exact"/>
        <w:ind w:firstLine="640"/>
        <w:jc w:val="left"/>
        <w:textAlignment w:val="auto"/>
        <w:rPr>
          <w:rFonts w:hint="eastAsia" w:ascii="方正仿宋_GBK" w:hAnsi="方正仿宋_GBK" w:eastAsia="方正仿宋_GBK" w:cs="方正仿宋_GBK"/>
          <w:sz w:val="32"/>
          <w:szCs w:val="32"/>
        </w:rPr>
      </w:pPr>
      <w:r>
        <w:rPr>
          <w:rFonts w:hint="eastAsia" w:ascii="Times New Roman" w:hAnsi="Times New Roman" w:eastAsia="仿宋_GB2312" w:cs="Times New Roman"/>
          <w:sz w:val="32"/>
          <w:szCs w:val="32"/>
        </w:rPr>
        <w:t>3．</w:t>
      </w:r>
      <w:r>
        <w:rPr>
          <w:rFonts w:hint="eastAsia" w:ascii="方正仿宋_GBK" w:hAnsi="方正仿宋_GBK" w:eastAsia="方正仿宋_GBK" w:cs="方正仿宋_GBK"/>
          <w:b/>
          <w:sz w:val="32"/>
          <w:szCs w:val="32"/>
        </w:rPr>
        <w:t>明确主体，多方协调。</w:t>
      </w:r>
      <w:r>
        <w:rPr>
          <w:rFonts w:hint="eastAsia" w:ascii="方正仿宋_GBK" w:hAnsi="方正仿宋_GBK" w:eastAsia="方正仿宋_GBK" w:cs="方正仿宋_GBK"/>
          <w:sz w:val="32"/>
          <w:szCs w:val="32"/>
        </w:rPr>
        <w:t>确立乡镇办、社区为责任主体，同时村（社区）多方协调，形成农村环境综合整治工作合力。建立健全管理体制，统筹谋划、确保成果、改善环境。</w:t>
      </w:r>
    </w:p>
    <w:p w14:paraId="26942EEC">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三、主要任务</w:t>
      </w:r>
    </w:p>
    <w:p w14:paraId="10922031">
      <w:pPr>
        <w:keepNext w:val="0"/>
        <w:keepLines w:val="0"/>
        <w:pageBreakBefore w:val="0"/>
        <w:widowControl w:val="0"/>
        <w:kinsoku/>
        <w:wordWrap/>
        <w:overflowPunct/>
        <w:topLinePunct w:val="0"/>
        <w:autoSpaceDE/>
        <w:autoSpaceDN/>
        <w:bidi w:val="0"/>
        <w:adjustRightInd/>
        <w:snapToGrid/>
        <w:spacing w:line="590" w:lineRule="exact"/>
        <w:ind w:firstLine="643"/>
        <w:textAlignment w:val="auto"/>
        <w:rPr>
          <w:rFonts w:hint="eastAsia" w:ascii="方正楷体_GBK" w:hAnsi="方正楷体_GBK" w:eastAsia="方正楷体_GBK" w:cs="方正楷体_GBK"/>
          <w:b w:val="0"/>
          <w:bCs/>
          <w:sz w:val="32"/>
          <w:szCs w:val="32"/>
        </w:rPr>
      </w:pPr>
      <w:r>
        <w:rPr>
          <w:rFonts w:hint="eastAsia" w:ascii="方正楷体_GBK" w:hAnsi="方正楷体_GBK" w:eastAsia="方正楷体_GBK" w:cs="方正楷体_GBK"/>
          <w:b w:val="0"/>
          <w:bCs/>
          <w:sz w:val="32"/>
          <w:szCs w:val="32"/>
        </w:rPr>
        <w:t>（一）农村生活垃圾治理</w:t>
      </w:r>
    </w:p>
    <w:p w14:paraId="7A6F8CAD">
      <w:pPr>
        <w:keepNext w:val="0"/>
        <w:keepLines w:val="0"/>
        <w:pageBreakBefore w:val="0"/>
        <w:widowControl w:val="0"/>
        <w:kinsoku/>
        <w:wordWrap/>
        <w:overflowPunct/>
        <w:topLinePunct w:val="0"/>
        <w:autoSpaceDE/>
        <w:autoSpaceDN/>
        <w:bidi w:val="0"/>
        <w:adjustRightInd/>
        <w:snapToGrid/>
        <w:spacing w:line="590" w:lineRule="exact"/>
        <w:ind w:firstLine="643"/>
        <w:jc w:val="left"/>
        <w:textAlignment w:val="auto"/>
        <w:rPr>
          <w:rFonts w:hint="eastAsia" w:ascii="方正仿宋_GBK" w:hAnsi="方正仿宋_GBK" w:eastAsia="方正仿宋_GBK" w:cs="方正仿宋_GBK"/>
          <w:b/>
          <w:bCs/>
          <w:sz w:val="32"/>
          <w:szCs w:val="32"/>
        </w:rPr>
      </w:pPr>
      <w:r>
        <w:rPr>
          <w:rFonts w:hint="eastAsia" w:ascii="Times New Roman" w:hAnsi="Times New Roman" w:eastAsia="仿宋_GB2312" w:cs="Times New Roman"/>
          <w:sz w:val="32"/>
          <w:szCs w:val="32"/>
        </w:rPr>
        <w:t>1.</w:t>
      </w:r>
      <w:r>
        <w:rPr>
          <w:rFonts w:hint="eastAsia" w:ascii="方正仿宋_GBK" w:hAnsi="方正仿宋_GBK" w:eastAsia="方正仿宋_GBK" w:cs="方正仿宋_GBK"/>
          <w:b/>
          <w:bCs/>
          <w:sz w:val="32"/>
          <w:szCs w:val="32"/>
        </w:rPr>
        <w:t xml:space="preserve"> 集中开展陈年垃圾清理</w:t>
      </w:r>
    </w:p>
    <w:p w14:paraId="34C91ED9">
      <w:pPr>
        <w:keepNext w:val="0"/>
        <w:keepLines w:val="0"/>
        <w:pageBreakBefore w:val="0"/>
        <w:widowControl w:val="0"/>
        <w:kinsoku/>
        <w:wordWrap/>
        <w:overflowPunct/>
        <w:topLinePunct w:val="0"/>
        <w:autoSpaceDE/>
        <w:autoSpaceDN/>
        <w:bidi w:val="0"/>
        <w:adjustRightInd/>
        <w:snapToGrid/>
        <w:spacing w:line="590" w:lineRule="exact"/>
        <w:ind w:firstLine="645"/>
        <w:textAlignment w:val="auto"/>
        <w:rPr>
          <w:rFonts w:ascii="Times New Roman" w:hAnsi="Times New Roman" w:eastAsia="方正仿宋_GBK" w:cs="Times New Roman"/>
          <w:b w:val="0"/>
          <w:bCs/>
          <w:sz w:val="32"/>
          <w:szCs w:val="32"/>
          <w:lang w:val="en-US" w:eastAsia="zh-CN" w:bidi="ar-SA"/>
        </w:rPr>
      </w:pPr>
      <w:r>
        <w:rPr>
          <w:rFonts w:hint="eastAsia" w:ascii="方正仿宋_GBK" w:hAnsi="方正仿宋_GBK" w:eastAsia="方正仿宋_GBK" w:cs="方正仿宋_GBK"/>
          <w:b w:val="0"/>
          <w:bCs/>
          <w:sz w:val="32"/>
          <w:szCs w:val="32"/>
          <w:lang w:val="en-US" w:eastAsia="zh-CN" w:bidi="ar-SA"/>
        </w:rPr>
        <w:t>从</w:t>
      </w:r>
      <w:r>
        <w:rPr>
          <w:rFonts w:ascii="Times New Roman" w:hAnsi="Times New Roman" w:eastAsia="仿宋_GB2312" w:cs="Times New Roman"/>
          <w:sz w:val="32"/>
          <w:szCs w:val="32"/>
          <w:lang w:val="en-US" w:eastAsia="zh-CN"/>
        </w:rPr>
        <w:t>2017</w:t>
      </w:r>
      <w:r>
        <w:rPr>
          <w:rFonts w:hint="eastAsia" w:ascii="方正仿宋_GBK" w:hAnsi="方正仿宋_GBK" w:eastAsia="方正仿宋_GBK" w:cs="方正仿宋_GBK"/>
          <w:b w:val="0"/>
          <w:bCs/>
          <w:sz w:val="32"/>
          <w:szCs w:val="32"/>
          <w:lang w:val="en-US" w:eastAsia="zh-CN" w:bidi="ar-SA"/>
        </w:rPr>
        <w:t>年</w:t>
      </w:r>
      <w:r>
        <w:rPr>
          <w:rFonts w:ascii="Times New Roman" w:hAnsi="Times New Roman" w:eastAsia="方正仿宋_GBK" w:cs="Times New Roman"/>
          <w:b w:val="0"/>
          <w:bCs/>
          <w:sz w:val="32"/>
          <w:szCs w:val="32"/>
          <w:lang w:val="en-US" w:eastAsia="zh-CN" w:bidi="ar-SA"/>
        </w:rPr>
        <w:t>6</w:t>
      </w:r>
      <w:r>
        <w:rPr>
          <w:rFonts w:hint="eastAsia" w:ascii="方正仿宋_GBK" w:hAnsi="方正仿宋_GBK" w:eastAsia="方正仿宋_GBK" w:cs="方正仿宋_GBK"/>
          <w:b w:val="0"/>
          <w:bCs/>
          <w:sz w:val="32"/>
          <w:szCs w:val="32"/>
          <w:lang w:val="en-US" w:eastAsia="zh-CN" w:bidi="ar-SA"/>
        </w:rPr>
        <w:t>月起，在全区范围内集中开展陈年垃圾清理行动。抓住沟渠、田间地头、房前屋后、村庄边际、景区周边等重点部位，以陈年积存生活垃圾、建筑垃圾、废弃秸秆杂物等为重点，全面排查、摸清积存垃圾存量、分布和污染情况，制定集中清理方案，明确时间节点，强化督查调度，组织人力物力，确保</w:t>
      </w:r>
      <w:r>
        <w:rPr>
          <w:rFonts w:ascii="Times New Roman" w:hAnsi="Times New Roman" w:eastAsia="方正仿宋_GBK" w:cs="Times New Roman"/>
          <w:b w:val="0"/>
          <w:bCs/>
          <w:sz w:val="32"/>
          <w:szCs w:val="32"/>
          <w:lang w:val="en-US" w:eastAsia="zh-CN" w:bidi="ar-SA"/>
        </w:rPr>
        <w:t>2017年9月底前全面完成集中清理任务，做到无暴露垃圾、无卫生死角。禁止向农村转移堆弃垃圾，防止在村庄周边形成新的垃圾污染。</w:t>
      </w:r>
    </w:p>
    <w:p w14:paraId="156D5C68">
      <w:pPr>
        <w:keepNext w:val="0"/>
        <w:keepLines w:val="0"/>
        <w:pageBreakBefore w:val="0"/>
        <w:widowControl w:val="0"/>
        <w:kinsoku/>
        <w:wordWrap/>
        <w:overflowPunct/>
        <w:topLinePunct w:val="0"/>
        <w:autoSpaceDE/>
        <w:autoSpaceDN/>
        <w:bidi w:val="0"/>
        <w:adjustRightInd/>
        <w:snapToGrid/>
        <w:spacing w:line="590" w:lineRule="exact"/>
        <w:ind w:firstLine="643"/>
        <w:jc w:val="left"/>
        <w:textAlignment w:val="auto"/>
        <w:rPr>
          <w:rFonts w:hint="eastAsia" w:ascii="方正仿宋_GBK" w:hAnsi="方正仿宋_GBK" w:eastAsia="方正仿宋_GBK" w:cs="方正仿宋_GBK"/>
          <w:b/>
          <w:sz w:val="32"/>
          <w:szCs w:val="32"/>
        </w:rPr>
      </w:pPr>
      <w:r>
        <w:rPr>
          <w:rFonts w:hint="eastAsia" w:ascii="Times New Roman" w:hAnsi="Times New Roman" w:eastAsia="方正仿宋_GBK" w:cs="Times New Roman"/>
          <w:b w:val="0"/>
          <w:bCs/>
          <w:sz w:val="32"/>
          <w:szCs w:val="32"/>
          <w:lang w:val="en-US" w:eastAsia="zh-CN" w:bidi="ar-SA"/>
        </w:rPr>
        <w:t xml:space="preserve">2. </w:t>
      </w:r>
      <w:r>
        <w:rPr>
          <w:rFonts w:hint="eastAsia" w:ascii="方正仿宋_GBK" w:hAnsi="方正仿宋_GBK" w:eastAsia="方正仿宋_GBK" w:cs="方正仿宋_GBK"/>
          <w:b/>
          <w:sz w:val="32"/>
          <w:szCs w:val="32"/>
        </w:rPr>
        <w:t>开展非正规垃圾堆放点整治</w:t>
      </w:r>
    </w:p>
    <w:p w14:paraId="56EA56BE">
      <w:pPr>
        <w:keepNext w:val="0"/>
        <w:keepLines w:val="0"/>
        <w:pageBreakBefore w:val="0"/>
        <w:widowControl w:val="0"/>
        <w:kinsoku/>
        <w:wordWrap/>
        <w:overflowPunct/>
        <w:topLinePunct w:val="0"/>
        <w:autoSpaceDE/>
        <w:autoSpaceDN/>
        <w:bidi w:val="0"/>
        <w:adjustRightInd/>
        <w:snapToGrid/>
        <w:spacing w:line="590" w:lineRule="exact"/>
        <w:ind w:firstLine="643"/>
        <w:jc w:val="left"/>
        <w:textAlignment w:val="auto"/>
        <w:rPr>
          <w:rFonts w:eastAsia="仿宋_GB2312"/>
          <w:sz w:val="32"/>
          <w:szCs w:val="32"/>
        </w:rPr>
      </w:pPr>
      <w:r>
        <w:rPr>
          <w:rFonts w:ascii="Times New Roman" w:hAnsi="Times New Roman" w:eastAsia="方正仿宋_GBK" w:cs="Times New Roman"/>
          <w:b w:val="0"/>
          <w:bCs/>
          <w:sz w:val="32"/>
          <w:szCs w:val="32"/>
          <w:lang w:val="en-US" w:eastAsia="zh-CN" w:bidi="ar-SA"/>
        </w:rPr>
        <w:t>对铜山镇非正规垃圾堆放点，制定整治方案，建立《排查工作台账》，2020年全面完成非正规垃圾堆放点整治任务。</w:t>
      </w:r>
    </w:p>
    <w:p w14:paraId="56568EAC">
      <w:pPr>
        <w:keepNext w:val="0"/>
        <w:keepLines w:val="0"/>
        <w:pageBreakBefore w:val="0"/>
        <w:widowControl w:val="0"/>
        <w:kinsoku/>
        <w:wordWrap/>
        <w:overflowPunct/>
        <w:topLinePunct w:val="0"/>
        <w:autoSpaceDE/>
        <w:autoSpaceDN/>
        <w:bidi w:val="0"/>
        <w:adjustRightInd/>
        <w:snapToGrid/>
        <w:spacing w:line="590" w:lineRule="exact"/>
        <w:ind w:firstLine="643"/>
        <w:jc w:val="left"/>
        <w:textAlignment w:val="auto"/>
        <w:rPr>
          <w:rFonts w:hint="eastAsia" w:ascii="方正仿宋_GBK" w:hAnsi="方正仿宋_GBK" w:eastAsia="方正仿宋_GBK" w:cs="方正仿宋_GBK"/>
          <w:b/>
          <w:sz w:val="32"/>
          <w:szCs w:val="32"/>
        </w:rPr>
      </w:pPr>
      <w:r>
        <w:rPr>
          <w:rFonts w:hint="eastAsia" w:ascii="Times New Roman" w:hAnsi="Times New Roman" w:eastAsia="方正仿宋_GBK" w:cs="Times New Roman"/>
          <w:b w:val="0"/>
          <w:bCs/>
          <w:sz w:val="32"/>
          <w:szCs w:val="32"/>
          <w:lang w:val="en-US" w:eastAsia="zh-CN" w:bidi="ar-SA"/>
        </w:rPr>
        <w:t xml:space="preserve">3. </w:t>
      </w:r>
      <w:r>
        <w:rPr>
          <w:rFonts w:hint="eastAsia" w:ascii="方正仿宋_GBK" w:hAnsi="方正仿宋_GBK" w:eastAsia="方正仿宋_GBK" w:cs="方正仿宋_GBK"/>
          <w:b/>
          <w:sz w:val="32"/>
          <w:szCs w:val="32"/>
        </w:rPr>
        <w:t>推行农村生活垃圾无害化处理</w:t>
      </w:r>
    </w:p>
    <w:p w14:paraId="67B6F219">
      <w:pPr>
        <w:keepNext w:val="0"/>
        <w:keepLines w:val="0"/>
        <w:pageBreakBefore w:val="0"/>
        <w:widowControl w:val="0"/>
        <w:kinsoku/>
        <w:wordWrap/>
        <w:overflowPunct/>
        <w:topLinePunct w:val="0"/>
        <w:autoSpaceDE/>
        <w:autoSpaceDN/>
        <w:bidi w:val="0"/>
        <w:adjustRightInd/>
        <w:snapToGrid/>
        <w:spacing w:line="590" w:lineRule="exact"/>
        <w:ind w:firstLine="643"/>
        <w:jc w:val="left"/>
        <w:textAlignment w:val="auto"/>
        <w:rPr>
          <w:rFonts w:ascii="Times New Roman" w:hAnsi="Times New Roman" w:eastAsia="方正仿宋_GBK" w:cs="Times New Roman"/>
          <w:b w:val="0"/>
          <w:bCs/>
          <w:sz w:val="32"/>
          <w:szCs w:val="32"/>
          <w:lang w:val="en-US" w:eastAsia="zh-CN" w:bidi="ar-SA"/>
        </w:rPr>
      </w:pPr>
      <w:r>
        <w:rPr>
          <w:rFonts w:ascii="Times New Roman" w:hAnsi="Times New Roman" w:eastAsia="方正仿宋_GBK" w:cs="Times New Roman"/>
          <w:b w:val="0"/>
          <w:bCs/>
          <w:sz w:val="32"/>
          <w:szCs w:val="32"/>
          <w:lang w:val="en-US" w:eastAsia="zh-CN" w:bidi="ar-SA"/>
        </w:rPr>
        <w:t>完善生活垃圾无害化处理设施建设规划，科学布局农村生活垃圾收运和处理设施。原则上所有行政村都要建设垃圾集中收集点，配备收集车辆；全面推行“村组收集、乡镇转运、市县处理”一体化环卫处理体系，逐步改造或停用露天垃圾池等敞开式收集场所、设施，鼓励村民自备垃圾收集容器。充分利用现有生活垃圾处理设施，规模容量不足的地方应及时新建、改建或扩建。完成安铜办垃圾中转站建设，充分利用现有设备，联系池州、安庆行政执法局。乡镇办就近转运至池州、安庆等地进行填埋或焚烧，真正做到垃圾无害化处理。</w:t>
      </w:r>
    </w:p>
    <w:p w14:paraId="638F4A17">
      <w:pPr>
        <w:keepNext w:val="0"/>
        <w:keepLines w:val="0"/>
        <w:pageBreakBefore w:val="0"/>
        <w:widowControl w:val="0"/>
        <w:kinsoku/>
        <w:wordWrap/>
        <w:overflowPunct/>
        <w:topLinePunct w:val="0"/>
        <w:autoSpaceDE/>
        <w:autoSpaceDN/>
        <w:bidi w:val="0"/>
        <w:adjustRightInd/>
        <w:snapToGrid/>
        <w:spacing w:line="590" w:lineRule="exact"/>
        <w:ind w:firstLine="643"/>
        <w:jc w:val="left"/>
        <w:textAlignment w:val="auto"/>
        <w:rPr>
          <w:rFonts w:hint="eastAsia" w:ascii="方正仿宋_GBK" w:hAnsi="方正仿宋_GBK" w:eastAsia="方正仿宋_GBK" w:cs="方正仿宋_GBK"/>
          <w:sz w:val="32"/>
          <w:szCs w:val="32"/>
        </w:rPr>
      </w:pPr>
      <w:r>
        <w:rPr>
          <w:rFonts w:hint="eastAsia" w:ascii="Times New Roman" w:hAnsi="Times New Roman" w:eastAsia="方正仿宋_GBK" w:cs="Times New Roman"/>
          <w:b w:val="0"/>
          <w:bCs/>
          <w:sz w:val="32"/>
          <w:szCs w:val="32"/>
          <w:lang w:val="en-US" w:eastAsia="zh-CN" w:bidi="ar-SA"/>
        </w:rPr>
        <w:t xml:space="preserve">4. </w:t>
      </w:r>
      <w:r>
        <w:rPr>
          <w:rFonts w:hint="eastAsia" w:ascii="方正仿宋_GBK" w:hAnsi="方正仿宋_GBK" w:eastAsia="方正仿宋_GBK" w:cs="方正仿宋_GBK"/>
          <w:b/>
          <w:bCs/>
          <w:sz w:val="32"/>
          <w:szCs w:val="32"/>
        </w:rPr>
        <w:t>推进农村垃圾分类和资源化利用</w:t>
      </w:r>
    </w:p>
    <w:p w14:paraId="3C96664B">
      <w:pPr>
        <w:keepNext w:val="0"/>
        <w:keepLines w:val="0"/>
        <w:pageBreakBefore w:val="0"/>
        <w:widowControl w:val="0"/>
        <w:kinsoku/>
        <w:wordWrap/>
        <w:overflowPunct/>
        <w:topLinePunct w:val="0"/>
        <w:autoSpaceDE/>
        <w:autoSpaceDN/>
        <w:bidi w:val="0"/>
        <w:adjustRightInd/>
        <w:snapToGrid/>
        <w:spacing w:line="590" w:lineRule="exact"/>
        <w:ind w:firstLine="643"/>
        <w:jc w:val="left"/>
        <w:textAlignment w:val="auto"/>
        <w:rPr>
          <w:rFonts w:ascii="Times New Roman" w:hAnsi="Times New Roman" w:eastAsia="方正仿宋_GBK" w:cs="Times New Roman"/>
          <w:b w:val="0"/>
          <w:bCs/>
          <w:sz w:val="32"/>
          <w:szCs w:val="32"/>
          <w:lang w:val="en-US" w:eastAsia="zh-CN" w:bidi="ar-SA"/>
        </w:rPr>
      </w:pPr>
      <w:r>
        <w:rPr>
          <w:rFonts w:ascii="Times New Roman" w:hAnsi="Times New Roman" w:eastAsia="方正仿宋_GBK" w:cs="Times New Roman"/>
          <w:b w:val="0"/>
          <w:bCs/>
          <w:sz w:val="32"/>
          <w:szCs w:val="32"/>
          <w:lang w:val="en-US" w:eastAsia="zh-CN" w:bidi="ar-SA"/>
        </w:rPr>
        <w:t>2017年，按照先示范、后推广原则，因地制宜制定农村垃圾分类和资源化利用实施方案。机制全面创新，选择部分有条件的村开展“垃圾兑换超市”示范试点，每个站点每年给予适当的补助，鼓励群众以捡拾的烟蒂、塑料袋、矿泉水瓶、废旧电池等垃圾，兑换食盐、黄酒、牙刷、肥皂等生活必备品。启动农村垃圾分类和资源化利用示范工作。适合在农村消纳的垃圾分类后就地减量，果皮、枝叶、厨余等可降解有机垃圾应就近堆肥还田，或利用农村沼气设施与畜禽粪便以及秸秆等农业废弃物合并处理，发展生物质能源；灰渣、建筑垃圾等应铺路填坑或就近掩埋；可再生资源尽可能回收；有毒有害垃圾应单独收集，送相关废物处理中心或按有关规定处理。2018-2020年，持续推进农村生活垃圾源头分类和资源化利用工作，逐步建立“分类收集、定点投放、回收利用、末端处置”运行体系。</w:t>
      </w:r>
    </w:p>
    <w:p w14:paraId="5DF9B148">
      <w:pPr>
        <w:keepNext w:val="0"/>
        <w:keepLines w:val="0"/>
        <w:pageBreakBefore w:val="0"/>
        <w:widowControl w:val="0"/>
        <w:kinsoku/>
        <w:wordWrap/>
        <w:overflowPunct/>
        <w:topLinePunct w:val="0"/>
        <w:autoSpaceDE/>
        <w:autoSpaceDN/>
        <w:bidi w:val="0"/>
        <w:adjustRightInd/>
        <w:snapToGrid/>
        <w:spacing w:line="590" w:lineRule="exact"/>
        <w:ind w:firstLine="645"/>
        <w:textAlignment w:val="auto"/>
        <w:rPr>
          <w:rFonts w:hint="eastAsia" w:ascii="方正仿宋_GBK" w:hAnsi="方正仿宋_GBK" w:eastAsia="方正仿宋_GBK" w:cs="方正仿宋_GBK"/>
          <w:b/>
          <w:bCs/>
          <w:sz w:val="32"/>
          <w:szCs w:val="32"/>
        </w:rPr>
      </w:pPr>
      <w:r>
        <w:rPr>
          <w:rFonts w:hint="eastAsia" w:ascii="Times New Roman" w:hAnsi="Times New Roman" w:eastAsia="方正仿宋_GBK" w:cs="Times New Roman"/>
          <w:b w:val="0"/>
          <w:bCs/>
          <w:sz w:val="32"/>
          <w:szCs w:val="32"/>
          <w:lang w:val="en-US" w:eastAsia="zh-CN" w:bidi="ar-SA"/>
        </w:rPr>
        <w:t xml:space="preserve">5. </w:t>
      </w:r>
      <w:r>
        <w:rPr>
          <w:rFonts w:hint="eastAsia" w:ascii="方正仿宋_GBK" w:hAnsi="方正仿宋_GBK" w:eastAsia="方正仿宋_GBK" w:cs="方正仿宋_GBK"/>
          <w:b/>
          <w:bCs/>
          <w:sz w:val="32"/>
          <w:szCs w:val="32"/>
        </w:rPr>
        <w:t>建立日常保洁管护机制</w:t>
      </w:r>
    </w:p>
    <w:p w14:paraId="459CFA10">
      <w:pPr>
        <w:keepNext w:val="0"/>
        <w:keepLines w:val="0"/>
        <w:pageBreakBefore w:val="0"/>
        <w:widowControl w:val="0"/>
        <w:kinsoku/>
        <w:wordWrap/>
        <w:overflowPunct/>
        <w:topLinePunct w:val="0"/>
        <w:autoSpaceDE/>
        <w:autoSpaceDN/>
        <w:bidi w:val="0"/>
        <w:adjustRightInd/>
        <w:snapToGrid/>
        <w:spacing w:line="590" w:lineRule="exact"/>
        <w:ind w:firstLine="643"/>
        <w:jc w:val="left"/>
        <w:textAlignment w:val="auto"/>
        <w:rPr>
          <w:rFonts w:ascii="Times New Roman" w:hAnsi="Times New Roman" w:eastAsia="方正仿宋_GBK" w:cs="Times New Roman"/>
          <w:b w:val="0"/>
          <w:bCs/>
          <w:sz w:val="32"/>
          <w:szCs w:val="32"/>
          <w:lang w:val="en-US" w:eastAsia="zh-CN" w:bidi="ar-SA"/>
        </w:rPr>
      </w:pPr>
      <w:r>
        <w:rPr>
          <w:rFonts w:ascii="Times New Roman" w:hAnsi="Times New Roman" w:eastAsia="方正仿宋_GBK" w:cs="Times New Roman"/>
          <w:b w:val="0"/>
          <w:bCs/>
          <w:sz w:val="32"/>
          <w:szCs w:val="32"/>
          <w:lang w:val="en-US" w:eastAsia="zh-CN" w:bidi="ar-SA"/>
        </w:rPr>
        <w:t>积极推进农村环卫作业一体化运行，将环卫管理由乡镇向农村延伸。各乡镇建立健全环境卫生管理机构，组织和落实农村垃圾治理工作。建立稳定的农村环卫保洁队伍，根据人口规模、作业半径、劳动强度等合理配置环卫保洁员，明确保洁员在垃圾收集、村庄保洁、资源回收、宣传监督等方面职责。发挥村务监督委员会、村民理事会等村民组织作用，通过修订村规民约、与村民签订卫生责任书等方式，明确村民保洁义务，制定奖惩措施，建立村民认可遵从的农村卫生保洁制度。引导社会资本参与农村垃圾治理，鼓励采取政府与社会资本合作等方式将农村环卫作业服务项目推向市场。组织城乡环境整治宣传进农村、进社区，增强群众卫生意识。通过随手拍、大众评等方式，开展“美丽庭院”“美丽阳台”评选活动，将垃圾整治延伸到家庭。</w:t>
      </w:r>
    </w:p>
    <w:p w14:paraId="3D4716F0">
      <w:pPr>
        <w:keepNext w:val="0"/>
        <w:keepLines w:val="0"/>
        <w:pageBreakBefore w:val="0"/>
        <w:widowControl w:val="0"/>
        <w:kinsoku/>
        <w:wordWrap/>
        <w:overflowPunct/>
        <w:topLinePunct w:val="0"/>
        <w:autoSpaceDE/>
        <w:autoSpaceDN/>
        <w:bidi w:val="0"/>
        <w:adjustRightInd/>
        <w:snapToGrid/>
        <w:spacing w:line="590" w:lineRule="exact"/>
        <w:ind w:firstLine="643"/>
        <w:jc w:val="left"/>
        <w:textAlignment w:val="auto"/>
        <w:rPr>
          <w:rFonts w:hint="eastAsia" w:ascii="方正楷体_GBK" w:hAnsi="方正楷体_GBK" w:eastAsia="方正楷体_GBK" w:cs="方正楷体_GBK"/>
          <w:b w:val="0"/>
          <w:bCs w:val="0"/>
          <w:sz w:val="32"/>
          <w:szCs w:val="32"/>
        </w:rPr>
      </w:pPr>
      <w:r>
        <w:rPr>
          <w:rFonts w:hint="eastAsia" w:ascii="方正楷体_GBK" w:hAnsi="方正楷体_GBK" w:eastAsia="方正楷体_GBK" w:cs="方正楷体_GBK"/>
          <w:b w:val="0"/>
          <w:bCs w:val="0"/>
          <w:sz w:val="32"/>
          <w:szCs w:val="32"/>
        </w:rPr>
        <w:t>（二）推进农业生产废弃物资源化利用</w:t>
      </w:r>
    </w:p>
    <w:p w14:paraId="74BB4EED">
      <w:pPr>
        <w:keepNext w:val="0"/>
        <w:keepLines w:val="0"/>
        <w:pageBreakBefore w:val="0"/>
        <w:widowControl w:val="0"/>
        <w:kinsoku/>
        <w:wordWrap/>
        <w:overflowPunct/>
        <w:topLinePunct w:val="0"/>
        <w:autoSpaceDE/>
        <w:autoSpaceDN/>
        <w:bidi w:val="0"/>
        <w:adjustRightInd/>
        <w:snapToGrid/>
        <w:spacing w:line="590" w:lineRule="exact"/>
        <w:ind w:firstLine="645"/>
        <w:textAlignment w:val="auto"/>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1. 畜禽养殖业废弃物综合利用</w:t>
      </w:r>
    </w:p>
    <w:p w14:paraId="67F257EC">
      <w:pPr>
        <w:keepNext w:val="0"/>
        <w:keepLines w:val="0"/>
        <w:pageBreakBefore w:val="0"/>
        <w:widowControl w:val="0"/>
        <w:kinsoku/>
        <w:wordWrap/>
        <w:overflowPunct/>
        <w:topLinePunct w:val="0"/>
        <w:autoSpaceDE/>
        <w:autoSpaceDN/>
        <w:bidi w:val="0"/>
        <w:adjustRightInd/>
        <w:snapToGrid/>
        <w:spacing w:line="590" w:lineRule="exact"/>
        <w:ind w:firstLine="643"/>
        <w:jc w:val="left"/>
        <w:textAlignment w:val="auto"/>
        <w:rPr>
          <w:rFonts w:ascii="Times New Roman" w:hAnsi="Times New Roman" w:eastAsia="方正仿宋_GBK" w:cs="Times New Roman"/>
          <w:b w:val="0"/>
          <w:bCs/>
          <w:sz w:val="32"/>
          <w:szCs w:val="32"/>
          <w:lang w:val="en-US" w:eastAsia="zh-CN" w:bidi="ar-SA"/>
        </w:rPr>
      </w:pPr>
      <w:r>
        <w:rPr>
          <w:rFonts w:ascii="Times New Roman" w:hAnsi="Times New Roman" w:eastAsia="方正仿宋_GBK" w:cs="Times New Roman"/>
          <w:b w:val="0"/>
          <w:bCs/>
          <w:sz w:val="32"/>
          <w:szCs w:val="32"/>
          <w:lang w:val="en-US" w:eastAsia="zh-CN" w:bidi="ar-SA"/>
        </w:rPr>
        <w:t>推动建设一批畜禽粪污收储、转运、固体粪便集中堆肥等设施。所有新建规模化畜禽养殖场（小区），要配套建设粪污处理设施。2017年底前，依法关闭或搬迁禁养区内的畜禽养殖场（小区）；现有规模化畜禽养殖场（小区）配套建设粪便污水处理设施，散养密集区推行分户收集、集中处理。列入“十三五”农村环境综合整治任务的建制村规模化畜禽养殖场（小区）全部配套建设粪污处理设施。</w:t>
      </w:r>
    </w:p>
    <w:p w14:paraId="42BFFCB1">
      <w:pPr>
        <w:keepNext w:val="0"/>
        <w:keepLines w:val="0"/>
        <w:pageBreakBefore w:val="0"/>
        <w:widowControl w:val="0"/>
        <w:kinsoku/>
        <w:wordWrap/>
        <w:overflowPunct/>
        <w:topLinePunct w:val="0"/>
        <w:autoSpaceDE/>
        <w:autoSpaceDN/>
        <w:bidi w:val="0"/>
        <w:adjustRightInd/>
        <w:snapToGrid/>
        <w:spacing w:line="590" w:lineRule="exact"/>
        <w:ind w:firstLine="640"/>
        <w:jc w:val="left"/>
        <w:textAlignment w:val="auto"/>
        <w:rPr>
          <w:rFonts w:ascii="Times New Roman" w:hAnsi="Times New Roman" w:eastAsia="方正仿宋_GBK" w:cs="Times New Roman"/>
          <w:b w:val="0"/>
          <w:bCs/>
          <w:sz w:val="32"/>
          <w:szCs w:val="32"/>
          <w:lang w:val="en-US" w:eastAsia="zh-CN" w:bidi="ar-SA"/>
        </w:rPr>
      </w:pPr>
      <w:r>
        <w:rPr>
          <w:rFonts w:hint="eastAsia" w:ascii="Times New Roman" w:hAnsi="Times New Roman" w:eastAsia="方正仿宋_GBK" w:cs="Times New Roman"/>
          <w:b w:val="0"/>
          <w:bCs/>
          <w:sz w:val="32"/>
          <w:szCs w:val="32"/>
          <w:lang w:val="en-US" w:eastAsia="zh-CN" w:bidi="ar-SA"/>
        </w:rPr>
        <w:t>（1）</w:t>
      </w:r>
      <w:r>
        <w:rPr>
          <w:rFonts w:hint="eastAsia" w:ascii="方正仿宋_GBK" w:hAnsi="方正仿宋_GBK" w:eastAsia="方正仿宋_GBK" w:cs="方正仿宋_GBK"/>
          <w:b/>
          <w:bCs/>
          <w:sz w:val="32"/>
          <w:szCs w:val="32"/>
        </w:rPr>
        <w:t>依法划定禁养区，做好养殖场（小区）关闭搬迁工作。</w:t>
      </w:r>
      <w:r>
        <w:rPr>
          <w:rFonts w:ascii="Times New Roman" w:hAnsi="Times New Roman" w:eastAsia="方正仿宋_GBK" w:cs="Times New Roman"/>
          <w:b w:val="0"/>
          <w:bCs/>
          <w:sz w:val="32"/>
          <w:szCs w:val="32"/>
          <w:lang w:val="en-US" w:eastAsia="zh-CN" w:bidi="ar-SA"/>
        </w:rPr>
        <w:t>制定禁养区内现有养殖场（小区）、养殖专业户的关闭、搬迁实施方案，按照部门职责，依法稳妥推进关闭、搬迁方案的实施工作。2017年底前完成禁养区内现有养殖场（小区）和养殖专业户关闭、搬迁工作。</w:t>
      </w:r>
    </w:p>
    <w:p w14:paraId="4F25C0BC">
      <w:pPr>
        <w:keepNext w:val="0"/>
        <w:keepLines w:val="0"/>
        <w:pageBreakBefore w:val="0"/>
        <w:widowControl w:val="0"/>
        <w:kinsoku/>
        <w:wordWrap/>
        <w:overflowPunct/>
        <w:topLinePunct w:val="0"/>
        <w:autoSpaceDE/>
        <w:autoSpaceDN/>
        <w:bidi w:val="0"/>
        <w:adjustRightInd/>
        <w:snapToGrid/>
        <w:spacing w:line="590" w:lineRule="exact"/>
        <w:ind w:firstLine="640"/>
        <w:jc w:val="left"/>
        <w:textAlignment w:val="auto"/>
        <w:rPr>
          <w:rFonts w:ascii="Times New Roman" w:hAnsi="Times New Roman" w:eastAsia="方正仿宋_GBK" w:cs="Times New Roman"/>
          <w:b w:val="0"/>
          <w:bCs/>
          <w:sz w:val="32"/>
          <w:szCs w:val="32"/>
          <w:lang w:val="en-US" w:eastAsia="zh-CN" w:bidi="ar-SA"/>
        </w:rPr>
      </w:pPr>
      <w:r>
        <w:rPr>
          <w:rFonts w:hint="eastAsia" w:ascii="Times New Roman" w:hAnsi="Times New Roman" w:eastAsia="方正仿宋_GBK" w:cs="Times New Roman"/>
          <w:b w:val="0"/>
          <w:bCs/>
          <w:sz w:val="32"/>
          <w:szCs w:val="32"/>
          <w:lang w:val="en-US" w:eastAsia="zh-CN" w:bidi="ar-SA"/>
        </w:rPr>
        <w:t>（2）</w:t>
      </w:r>
      <w:r>
        <w:rPr>
          <w:rFonts w:hint="eastAsia" w:ascii="方正仿宋_GBK" w:hAnsi="方正仿宋_GBK" w:eastAsia="方正仿宋_GBK" w:cs="方正仿宋_GBK"/>
          <w:b/>
          <w:bCs/>
          <w:sz w:val="32"/>
          <w:szCs w:val="32"/>
        </w:rPr>
        <w:t>规划引导，推进畜禽养殖业稳定健康发展。</w:t>
      </w:r>
      <w:r>
        <w:rPr>
          <w:rFonts w:ascii="Times New Roman" w:hAnsi="Times New Roman" w:eastAsia="方正仿宋_GBK" w:cs="Times New Roman"/>
          <w:b w:val="0"/>
          <w:bCs/>
          <w:sz w:val="32"/>
          <w:szCs w:val="32"/>
          <w:lang w:val="en-US" w:eastAsia="zh-CN" w:bidi="ar-SA"/>
        </w:rPr>
        <w:t>编制畜禽养殖污染防治规划，明确畜禽养殖污染防治目标、任务、重点区域，明确污染治理重点设施建设，以及废弃物综合利用等污染防治措施。积极推动各乡镇在组织编制土地利用规划时，统筹安排，将畜禽养殖用地纳入规划，落实养殖用地，作为农用地管理。</w:t>
      </w:r>
    </w:p>
    <w:p w14:paraId="746C0A89">
      <w:pPr>
        <w:keepNext w:val="0"/>
        <w:keepLines w:val="0"/>
        <w:pageBreakBefore w:val="0"/>
        <w:widowControl w:val="0"/>
        <w:kinsoku/>
        <w:wordWrap/>
        <w:overflowPunct/>
        <w:topLinePunct w:val="0"/>
        <w:autoSpaceDE/>
        <w:autoSpaceDN/>
        <w:bidi w:val="0"/>
        <w:adjustRightInd/>
        <w:snapToGrid/>
        <w:spacing w:line="590" w:lineRule="exact"/>
        <w:ind w:firstLine="640"/>
        <w:jc w:val="left"/>
        <w:textAlignment w:val="auto"/>
        <w:rPr>
          <w:rFonts w:eastAsia="仿宋_GB2312"/>
          <w:b/>
          <w:bCs/>
          <w:sz w:val="32"/>
          <w:szCs w:val="32"/>
        </w:rPr>
      </w:pPr>
      <w:r>
        <w:rPr>
          <w:rFonts w:hint="eastAsia" w:ascii="Times New Roman" w:hAnsi="Times New Roman" w:eastAsia="方正仿宋_GBK" w:cs="Times New Roman"/>
          <w:b w:val="0"/>
          <w:bCs/>
          <w:sz w:val="32"/>
          <w:szCs w:val="32"/>
          <w:lang w:val="en-US" w:eastAsia="zh-CN" w:bidi="ar-SA"/>
        </w:rPr>
        <w:t>（3）</w:t>
      </w:r>
      <w:r>
        <w:rPr>
          <w:rFonts w:hint="eastAsia" w:ascii="方正仿宋_GBK" w:hAnsi="方正仿宋_GBK" w:eastAsia="方正仿宋_GBK" w:cs="方正仿宋_GBK"/>
          <w:b/>
          <w:bCs/>
          <w:sz w:val="32"/>
          <w:szCs w:val="32"/>
        </w:rPr>
        <w:t>典型示范，开展综合利用试点示范创建。</w:t>
      </w:r>
      <w:r>
        <w:rPr>
          <w:rFonts w:ascii="Times New Roman" w:hAnsi="Times New Roman" w:eastAsia="方正仿宋_GBK" w:cs="Times New Roman"/>
          <w:b w:val="0"/>
          <w:bCs/>
          <w:sz w:val="32"/>
          <w:szCs w:val="32"/>
          <w:lang w:val="en-US" w:eastAsia="zh-CN" w:bidi="ar-SA"/>
        </w:rPr>
        <w:t>指导畜禽养殖场、养殖小区根据养殖规模和污染防治需要，建设相应的畜禽粪便、污水与雨水分流设施，畜禽粪便、污水的贮存设施，粪污厌氧消化和堆沤、有机肥加工、制取沼气、沼渣沼液分离和输送、污水处理、畜禽尸体处理等综合利用和无害化处理设施，监督设施正常运行。积极探索推广适合区域特点、经济高效、可持续运行的综合利用技术模式，通过提高种养结合、种养平衡水平，强化废弃物集中收集和处理，促进废弃物就地就近实现资源化利用。开展全区推进畜禽规模养殖场粪污资源化综合利用试点</w:t>
      </w:r>
      <w:r>
        <w:rPr>
          <w:rFonts w:eastAsia="仿宋_GB2312"/>
          <w:sz w:val="32"/>
          <w:szCs w:val="32"/>
        </w:rPr>
        <w:t>。</w:t>
      </w:r>
    </w:p>
    <w:p w14:paraId="52547341">
      <w:pPr>
        <w:keepNext w:val="0"/>
        <w:keepLines w:val="0"/>
        <w:pageBreakBefore w:val="0"/>
        <w:widowControl w:val="0"/>
        <w:kinsoku/>
        <w:wordWrap/>
        <w:overflowPunct/>
        <w:topLinePunct w:val="0"/>
        <w:autoSpaceDE/>
        <w:autoSpaceDN/>
        <w:bidi w:val="0"/>
        <w:adjustRightInd/>
        <w:snapToGrid/>
        <w:spacing w:line="590" w:lineRule="exact"/>
        <w:ind w:firstLine="645"/>
        <w:textAlignment w:val="auto"/>
        <w:rPr>
          <w:rFonts w:ascii="Times New Roman" w:hAnsi="Times New Roman" w:eastAsia="方正仿宋_GBK" w:cs="Times New Roman"/>
          <w:b w:val="0"/>
          <w:bCs/>
          <w:sz w:val="32"/>
          <w:szCs w:val="32"/>
          <w:lang w:val="en-US" w:eastAsia="zh-CN" w:bidi="ar-SA"/>
        </w:rPr>
      </w:pPr>
      <w:r>
        <w:rPr>
          <w:rFonts w:hint="eastAsia" w:ascii="Times New Roman" w:hAnsi="Times New Roman" w:eastAsia="方正仿宋_GBK" w:cs="Times New Roman"/>
          <w:b w:val="0"/>
          <w:bCs/>
          <w:sz w:val="32"/>
          <w:szCs w:val="32"/>
          <w:lang w:val="en-US" w:eastAsia="zh-CN" w:bidi="ar-SA"/>
        </w:rPr>
        <w:t>（4）</w:t>
      </w:r>
      <w:r>
        <w:rPr>
          <w:rFonts w:hint="eastAsia" w:ascii="方正仿宋_GBK" w:hAnsi="方正仿宋_GBK" w:eastAsia="方正仿宋_GBK" w:cs="方正仿宋_GBK"/>
          <w:b/>
          <w:bCs/>
          <w:sz w:val="32"/>
          <w:szCs w:val="32"/>
        </w:rPr>
        <w:t>农膜回收利用。</w:t>
      </w:r>
      <w:r>
        <w:rPr>
          <w:rFonts w:ascii="Times New Roman" w:hAnsi="Times New Roman" w:eastAsia="方正仿宋_GBK" w:cs="Times New Roman"/>
          <w:b w:val="0"/>
          <w:bCs/>
          <w:sz w:val="32"/>
          <w:szCs w:val="32"/>
          <w:lang w:val="en-US" w:eastAsia="zh-CN" w:bidi="ar-SA"/>
        </w:rPr>
        <w:t>落实农业部《农膜回收行动方案》要求，推进地膜覆盖减量化、推进地膜产品标准化、推进地膜捡拾机械化、推进地膜回收专业化。大力推广农膜科学使用和残膜回收利用技术，开展农田残膜回收区域示范，建立农资包装废弃物贮运机制，有效回收处置农药、化肥、地膜、兽药等包装物。</w:t>
      </w:r>
    </w:p>
    <w:p w14:paraId="51F3B3B2">
      <w:pPr>
        <w:keepNext w:val="0"/>
        <w:keepLines w:val="0"/>
        <w:pageBreakBefore w:val="0"/>
        <w:widowControl w:val="0"/>
        <w:kinsoku/>
        <w:wordWrap/>
        <w:overflowPunct/>
        <w:topLinePunct w:val="0"/>
        <w:autoSpaceDE/>
        <w:autoSpaceDN/>
        <w:bidi w:val="0"/>
        <w:adjustRightInd/>
        <w:snapToGrid/>
        <w:spacing w:line="590" w:lineRule="exact"/>
        <w:ind w:firstLine="645"/>
        <w:textAlignment w:val="auto"/>
        <w:rPr>
          <w:rFonts w:hint="eastAsia" w:ascii="方正仿宋_GBK" w:hAnsi="方正仿宋_GBK" w:eastAsia="方正仿宋_GBK" w:cs="方正仿宋_GBK"/>
          <w:b/>
          <w:bCs/>
          <w:sz w:val="32"/>
          <w:szCs w:val="32"/>
        </w:rPr>
      </w:pPr>
      <w:r>
        <w:rPr>
          <w:rFonts w:hint="eastAsia" w:ascii="Times New Roman" w:hAnsi="Times New Roman" w:eastAsia="方正仿宋_GBK" w:cs="Times New Roman"/>
          <w:b w:val="0"/>
          <w:bCs/>
          <w:sz w:val="32"/>
          <w:szCs w:val="32"/>
          <w:lang w:val="en-US" w:eastAsia="zh-CN" w:bidi="ar-SA"/>
        </w:rPr>
        <w:t xml:space="preserve">2. </w:t>
      </w:r>
      <w:r>
        <w:rPr>
          <w:rFonts w:hint="eastAsia" w:ascii="方正仿宋_GBK" w:hAnsi="方正仿宋_GBK" w:eastAsia="方正仿宋_GBK" w:cs="方正仿宋_GBK"/>
          <w:b/>
          <w:bCs/>
          <w:sz w:val="32"/>
          <w:szCs w:val="32"/>
        </w:rPr>
        <w:t>秸秆综合利用。</w:t>
      </w:r>
    </w:p>
    <w:p w14:paraId="7B6164FB">
      <w:pPr>
        <w:keepNext w:val="0"/>
        <w:keepLines w:val="0"/>
        <w:pageBreakBefore w:val="0"/>
        <w:widowControl w:val="0"/>
        <w:kinsoku/>
        <w:wordWrap/>
        <w:overflowPunct/>
        <w:topLinePunct w:val="0"/>
        <w:autoSpaceDE/>
        <w:autoSpaceDN/>
        <w:bidi w:val="0"/>
        <w:adjustRightInd/>
        <w:snapToGrid/>
        <w:spacing w:line="590" w:lineRule="exact"/>
        <w:ind w:firstLine="645"/>
        <w:textAlignment w:val="auto"/>
        <w:rPr>
          <w:rFonts w:ascii="Times New Roman" w:hAnsi="Times New Roman" w:eastAsia="方正仿宋_GBK" w:cs="Times New Roman"/>
          <w:b w:val="0"/>
          <w:bCs/>
          <w:sz w:val="32"/>
          <w:szCs w:val="32"/>
          <w:lang w:val="en-US" w:eastAsia="zh-CN" w:bidi="ar-SA"/>
        </w:rPr>
      </w:pPr>
      <w:r>
        <w:rPr>
          <w:rFonts w:ascii="Times New Roman" w:hAnsi="Times New Roman" w:eastAsia="方正仿宋_GBK" w:cs="Times New Roman"/>
          <w:b w:val="0"/>
          <w:bCs/>
          <w:sz w:val="32"/>
          <w:szCs w:val="32"/>
          <w:lang w:val="en-US" w:eastAsia="zh-CN" w:bidi="ar-SA"/>
        </w:rPr>
        <w:t>推进秸秆综合利用规模化、产业化，建立健全秸秆收储运体系，推进秸秆机械化还田和饲料化、基料化、原料化利用。大力推广农膜科学使用和残膜回收利用技术，开展农田残膜回收区域示范，建立农资包装废弃物贮运机制，有效回收处置农药、化肥、农膜、兽药等包装物。</w:t>
      </w:r>
    </w:p>
    <w:p w14:paraId="71450918">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43"/>
        <w:textAlignment w:val="auto"/>
        <w:rPr>
          <w:rFonts w:ascii="Times New Roman" w:hAnsi="Times New Roman" w:eastAsia="方正仿宋_GBK" w:cs="Times New Roman"/>
          <w:b w:val="0"/>
          <w:bCs/>
          <w:sz w:val="32"/>
          <w:szCs w:val="32"/>
          <w:lang w:val="en-US" w:eastAsia="zh-CN" w:bidi="ar-SA"/>
        </w:rPr>
      </w:pPr>
      <w:r>
        <w:rPr>
          <w:rFonts w:hint="eastAsia" w:ascii="方正仿宋_GBK" w:hAnsi="方正仿宋_GBK" w:eastAsia="方正仿宋_GBK" w:cs="方正仿宋_GBK"/>
          <w:b/>
          <w:bCs/>
          <w:sz w:val="32"/>
          <w:szCs w:val="32"/>
        </w:rPr>
        <w:t>（1）户用沼气池秸秆沼气技术改造。</w:t>
      </w:r>
      <w:r>
        <w:rPr>
          <w:rFonts w:ascii="Times New Roman" w:hAnsi="Times New Roman" w:eastAsia="方正仿宋_GBK" w:cs="Times New Roman"/>
          <w:b w:val="0"/>
          <w:bCs/>
          <w:sz w:val="32"/>
          <w:szCs w:val="32"/>
          <w:lang w:val="en-US" w:eastAsia="zh-CN" w:bidi="ar-SA"/>
        </w:rPr>
        <w:t>户用沼气池秸秆沼气技术改造主要是将原有使用畜禽粪便发酵原料的沼气池改用农作物秸秆作为发酵原料，其技术路线是：秸秆预处理→装入沼气池→加入菌种及人畜粪便污水或尿素→启动产气→净化脱硫→供农户使用。</w:t>
      </w:r>
    </w:p>
    <w:p w14:paraId="40B0CFFE">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40"/>
        <w:textAlignment w:val="auto"/>
        <w:rPr>
          <w:rFonts w:ascii="Times New Roman" w:hAnsi="Times New Roman" w:eastAsia="方正仿宋_GBK" w:cs="Times New Roman"/>
          <w:b w:val="0"/>
          <w:bCs/>
          <w:sz w:val="32"/>
          <w:szCs w:val="32"/>
          <w:lang w:val="en-US" w:eastAsia="zh-CN" w:bidi="ar-SA"/>
        </w:rPr>
      </w:pPr>
      <w:r>
        <w:rPr>
          <w:rFonts w:hint="eastAsia" w:ascii="Times New Roman" w:hAnsi="Times New Roman" w:eastAsia="方正仿宋_GBK" w:cs="Times New Roman"/>
          <w:b w:val="0"/>
          <w:bCs/>
          <w:sz w:val="32"/>
          <w:szCs w:val="32"/>
          <w:lang w:val="en-US" w:eastAsia="zh-CN" w:bidi="ar-SA"/>
        </w:rPr>
        <w:t>（2）</w:t>
      </w:r>
      <w:r>
        <w:rPr>
          <w:rFonts w:hint="eastAsia" w:ascii="方正仿宋_GBK" w:hAnsi="方正仿宋_GBK" w:eastAsia="方正仿宋_GBK" w:cs="方正仿宋_GBK"/>
          <w:b/>
          <w:bCs/>
          <w:sz w:val="32"/>
          <w:szCs w:val="32"/>
        </w:rPr>
        <w:t>小型秸秆固化成型燃料生产点和配套炉具推广。</w:t>
      </w:r>
      <w:r>
        <w:rPr>
          <w:rFonts w:ascii="Times New Roman" w:hAnsi="Times New Roman" w:eastAsia="方正仿宋_GBK" w:cs="Times New Roman"/>
          <w:b w:val="0"/>
          <w:bCs/>
          <w:sz w:val="32"/>
          <w:szCs w:val="32"/>
          <w:lang w:val="en-US" w:eastAsia="zh-CN" w:bidi="ar-SA"/>
        </w:rPr>
        <w:t>将粉碎后的秸秆通过机械压制成颗粒状或者棒（块）状固体成型燃料，成型后的燃料比重大、体积小，便于储存和运输。秸秆固化成型燃料热值可达3000－4500千卡/公斤，具有环保、易燃、灰分少、热值高等特点，可替代木柴、原煤等燃料，广泛用于取暖、生活炉灶、生产锅炉、生物质发电等。</w:t>
      </w:r>
    </w:p>
    <w:p w14:paraId="4CED0AB7">
      <w:pPr>
        <w:keepNext w:val="0"/>
        <w:keepLines w:val="0"/>
        <w:pageBreakBefore w:val="0"/>
        <w:widowControl w:val="0"/>
        <w:kinsoku/>
        <w:wordWrap/>
        <w:overflowPunct/>
        <w:topLinePunct w:val="0"/>
        <w:autoSpaceDE/>
        <w:autoSpaceDN/>
        <w:bidi w:val="0"/>
        <w:adjustRightInd/>
        <w:snapToGrid/>
        <w:spacing w:line="590" w:lineRule="exact"/>
        <w:ind w:firstLine="643"/>
        <w:jc w:val="left"/>
        <w:textAlignment w:val="auto"/>
        <w:rPr>
          <w:rFonts w:hint="eastAsia" w:ascii="方正楷体_GBK" w:hAnsi="方正楷体_GBK" w:eastAsia="方正楷体_GBK" w:cs="方正楷体_GBK"/>
          <w:b w:val="0"/>
          <w:bCs w:val="0"/>
          <w:sz w:val="32"/>
          <w:szCs w:val="32"/>
        </w:rPr>
      </w:pPr>
      <w:r>
        <w:rPr>
          <w:rFonts w:hint="eastAsia" w:ascii="方正楷体_GBK" w:hAnsi="方正楷体_GBK" w:eastAsia="方正楷体_GBK" w:cs="方正楷体_GBK"/>
          <w:b w:val="0"/>
          <w:bCs w:val="0"/>
          <w:sz w:val="32"/>
          <w:szCs w:val="32"/>
        </w:rPr>
        <w:t>（三）规范处置农村工业固体废物</w:t>
      </w:r>
    </w:p>
    <w:p w14:paraId="04695DE1">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40"/>
        <w:textAlignment w:val="auto"/>
        <w:rPr>
          <w:rFonts w:ascii="Times New Roman" w:hAnsi="Times New Roman" w:eastAsia="方正仿宋_GBK" w:cs="Times New Roman"/>
          <w:b w:val="0"/>
          <w:bCs/>
          <w:sz w:val="32"/>
          <w:szCs w:val="32"/>
          <w:lang w:val="en-US" w:eastAsia="zh-CN" w:bidi="ar-SA"/>
        </w:rPr>
      </w:pPr>
      <w:r>
        <w:rPr>
          <w:rFonts w:ascii="Times New Roman" w:hAnsi="Times New Roman" w:eastAsia="方正仿宋_GBK" w:cs="Times New Roman"/>
          <w:b w:val="0"/>
          <w:bCs/>
          <w:sz w:val="32"/>
          <w:szCs w:val="32"/>
          <w:lang w:val="en-US" w:eastAsia="zh-CN" w:bidi="ar-SA"/>
        </w:rPr>
        <w:t>加强对农村地区工业固体废弃产生单位的监督管理，督促相关工业企业严格按环保标准贮存、转移、利用、处置工业固体废物，落实危险废物无害化管理措施，坚决查处在农村地区非法倾倒、堆置工业固体废物行为，严厉打击危险废物污染环境违法行为。推动农村地区工业固体废物综合利用，因地制宜发展能源化、建材化等综合利用技术。依托现有危险废物处理设施集中处置农村地区工业危险废物。</w:t>
      </w:r>
    </w:p>
    <w:p w14:paraId="7B655543">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40"/>
        <w:textAlignment w:val="auto"/>
        <w:rPr>
          <w:rFonts w:ascii="Times New Roman" w:hAnsi="Times New Roman" w:eastAsia="方正仿宋_GBK" w:cs="Times New Roman"/>
          <w:b w:val="0"/>
          <w:bCs/>
          <w:sz w:val="32"/>
          <w:szCs w:val="32"/>
          <w:lang w:val="en-US" w:eastAsia="zh-CN" w:bidi="ar-SA"/>
        </w:rPr>
      </w:pPr>
      <w:r>
        <w:rPr>
          <w:rFonts w:hint="eastAsia" w:ascii="Times New Roman" w:hAnsi="Times New Roman" w:eastAsia="方正仿宋_GBK" w:cs="Times New Roman"/>
          <w:b w:val="0"/>
          <w:bCs/>
          <w:sz w:val="32"/>
          <w:szCs w:val="32"/>
          <w:lang w:val="en-US" w:eastAsia="zh-CN" w:bidi="ar-SA"/>
        </w:rPr>
        <w:t xml:space="preserve">1. </w:t>
      </w:r>
      <w:r>
        <w:rPr>
          <w:rFonts w:hint="eastAsia" w:ascii="方正仿宋_GBK" w:hAnsi="方正仿宋_GBK" w:eastAsia="方正仿宋_GBK" w:cs="方正仿宋_GBK"/>
          <w:b/>
          <w:bCs/>
          <w:sz w:val="32"/>
          <w:szCs w:val="32"/>
        </w:rPr>
        <w:t>调查摸底。</w:t>
      </w:r>
      <w:r>
        <w:rPr>
          <w:rFonts w:ascii="Times New Roman" w:hAnsi="Times New Roman" w:eastAsia="方正仿宋_GBK" w:cs="Times New Roman"/>
          <w:b w:val="0"/>
          <w:bCs/>
          <w:sz w:val="32"/>
          <w:szCs w:val="32"/>
          <w:lang w:val="en-US" w:eastAsia="zh-CN" w:bidi="ar-SA"/>
        </w:rPr>
        <w:t>印发全区农村工业固体废物排查整治工作方案，部署乡镇办开展农村工业固体废物调查，摸清辖区农村工业固体废物堆放（倾倒）点位、种类、数量等信息，有针对性制定无害化处置方案。</w:t>
      </w:r>
    </w:p>
    <w:p w14:paraId="79EC4EE2">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40"/>
        <w:textAlignment w:val="auto"/>
        <w:rPr>
          <w:rFonts w:ascii="Times New Roman" w:hAnsi="Times New Roman" w:eastAsia="方正仿宋_GBK" w:cs="Times New Roman"/>
          <w:b w:val="0"/>
          <w:bCs/>
          <w:sz w:val="32"/>
          <w:szCs w:val="32"/>
          <w:lang w:val="en-US" w:eastAsia="zh-CN" w:bidi="ar-SA"/>
        </w:rPr>
      </w:pPr>
      <w:r>
        <w:rPr>
          <w:rFonts w:hint="eastAsia" w:ascii="Times New Roman" w:hAnsi="Times New Roman" w:eastAsia="方正仿宋_GBK" w:cs="Times New Roman"/>
          <w:b w:val="0"/>
          <w:bCs/>
          <w:sz w:val="32"/>
          <w:szCs w:val="32"/>
          <w:lang w:val="en-US" w:eastAsia="zh-CN" w:bidi="ar-SA"/>
        </w:rPr>
        <w:t xml:space="preserve">2. </w:t>
      </w:r>
      <w:r>
        <w:rPr>
          <w:rFonts w:hint="eastAsia" w:ascii="方正仿宋_GBK" w:hAnsi="方正仿宋_GBK" w:eastAsia="方正仿宋_GBK" w:cs="方正仿宋_GBK"/>
          <w:b/>
          <w:bCs/>
          <w:sz w:val="32"/>
          <w:szCs w:val="32"/>
        </w:rPr>
        <w:t>分类处置。</w:t>
      </w:r>
      <w:r>
        <w:rPr>
          <w:rFonts w:ascii="Times New Roman" w:hAnsi="Times New Roman" w:eastAsia="方正仿宋_GBK" w:cs="Times New Roman"/>
          <w:b w:val="0"/>
          <w:bCs/>
          <w:sz w:val="32"/>
          <w:szCs w:val="32"/>
          <w:lang w:val="en-US" w:eastAsia="zh-CN" w:bidi="ar-SA"/>
        </w:rPr>
        <w:t>如属于一般工业固体废物，联系铜陵海螺、铜陵上峰公司利用水泥窑协同处置，集中无害化填埋处置。</w:t>
      </w:r>
    </w:p>
    <w:p w14:paraId="5E435A47">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40"/>
        <w:textAlignment w:val="auto"/>
        <w:rPr>
          <w:rFonts w:ascii="Times New Roman" w:hAnsi="Times New Roman" w:eastAsia="方正仿宋_GBK" w:cs="Times New Roman"/>
          <w:b w:val="0"/>
          <w:bCs/>
          <w:sz w:val="32"/>
          <w:szCs w:val="32"/>
          <w:lang w:val="en-US" w:eastAsia="zh-CN" w:bidi="ar-SA"/>
        </w:rPr>
      </w:pPr>
      <w:r>
        <w:rPr>
          <w:rFonts w:hint="eastAsia" w:ascii="Times New Roman" w:hAnsi="Times New Roman" w:eastAsia="方正仿宋_GBK" w:cs="Times New Roman"/>
          <w:b w:val="0"/>
          <w:bCs/>
          <w:sz w:val="32"/>
          <w:szCs w:val="32"/>
          <w:lang w:val="en-US" w:eastAsia="zh-CN" w:bidi="ar-SA"/>
        </w:rPr>
        <w:t xml:space="preserve">3. </w:t>
      </w:r>
      <w:r>
        <w:rPr>
          <w:rFonts w:hint="eastAsia" w:ascii="方正仿宋_GBK" w:hAnsi="方正仿宋_GBK" w:eastAsia="方正仿宋_GBK" w:cs="方正仿宋_GBK"/>
          <w:b/>
          <w:bCs/>
          <w:sz w:val="32"/>
          <w:szCs w:val="32"/>
        </w:rPr>
        <w:t>严格监管。</w:t>
      </w:r>
      <w:r>
        <w:rPr>
          <w:rFonts w:ascii="Times New Roman" w:hAnsi="Times New Roman" w:eastAsia="方正仿宋_GBK" w:cs="Times New Roman"/>
          <w:b w:val="0"/>
          <w:bCs/>
          <w:sz w:val="32"/>
          <w:szCs w:val="32"/>
          <w:lang w:val="en-US" w:eastAsia="zh-CN" w:bidi="ar-SA"/>
        </w:rPr>
        <w:t>层层压实责任，建立日常监管和巡查的长效机制，严厉打击工业固体废物向农村转移的违法行为。对涉及犯罪的，要移交公安机关追究其刑事责任，确保农村环境安全。</w:t>
      </w:r>
    </w:p>
    <w:p w14:paraId="61B376A8">
      <w:pPr>
        <w:keepNext w:val="0"/>
        <w:keepLines w:val="0"/>
        <w:pageBreakBefore w:val="0"/>
        <w:widowControl w:val="0"/>
        <w:shd w:val="clear" w:color="auto" w:fill="FFFFFF"/>
        <w:kinsoku/>
        <w:wordWrap/>
        <w:overflowPunct/>
        <w:topLinePunct w:val="0"/>
        <w:autoSpaceDE/>
        <w:autoSpaceDN/>
        <w:bidi w:val="0"/>
        <w:adjustRightInd/>
        <w:snapToGrid/>
        <w:spacing w:line="590" w:lineRule="exact"/>
        <w:ind w:firstLine="640"/>
        <w:textAlignment w:val="auto"/>
        <w:rPr>
          <w:rFonts w:eastAsia="仿宋_GB2312"/>
          <w:b/>
          <w:sz w:val="32"/>
          <w:szCs w:val="32"/>
        </w:rPr>
      </w:pPr>
      <w:r>
        <w:rPr>
          <w:rFonts w:hint="eastAsia" w:ascii="Times New Roman" w:hAnsi="Times New Roman" w:eastAsia="方正仿宋_GBK" w:cs="Times New Roman"/>
          <w:b w:val="0"/>
          <w:bCs/>
          <w:sz w:val="32"/>
          <w:szCs w:val="32"/>
          <w:lang w:val="en-US" w:eastAsia="zh-CN" w:bidi="ar-SA"/>
        </w:rPr>
        <w:t>4.</w:t>
      </w:r>
      <w:r>
        <w:rPr>
          <w:rFonts w:hint="eastAsia" w:ascii="方正仿宋_GBK" w:hAnsi="方正仿宋_GBK" w:eastAsia="方正仿宋_GBK" w:cs="方正仿宋_GBK"/>
          <w:b/>
          <w:bCs/>
          <w:sz w:val="32"/>
          <w:szCs w:val="32"/>
        </w:rPr>
        <w:t xml:space="preserve"> 完善机制及设施。</w:t>
      </w:r>
      <w:r>
        <w:rPr>
          <w:rFonts w:ascii="Times New Roman" w:hAnsi="Times New Roman" w:eastAsia="方正仿宋_GBK" w:cs="Times New Roman"/>
          <w:b w:val="0"/>
          <w:bCs/>
          <w:sz w:val="32"/>
          <w:szCs w:val="32"/>
          <w:lang w:val="en-US" w:eastAsia="zh-CN" w:bidi="ar-SA"/>
        </w:rPr>
        <w:t>解决农村固废处置去向，一是协调铜陵海螺、铜陵上峰水泥公司，建立协同处置一般工业固体废物工作机制；二是利用我区废弃的矿坑、塌陷区，政府统筹建设一般工业固体废物消纳场，规范集中填埋和无害化处置。</w:t>
      </w:r>
    </w:p>
    <w:p w14:paraId="51CC74CC">
      <w:pPr>
        <w:keepNext w:val="0"/>
        <w:keepLines w:val="0"/>
        <w:pageBreakBefore w:val="0"/>
        <w:widowControl w:val="0"/>
        <w:kinsoku/>
        <w:wordWrap/>
        <w:overflowPunct/>
        <w:topLinePunct w:val="0"/>
        <w:autoSpaceDE/>
        <w:autoSpaceDN/>
        <w:bidi w:val="0"/>
        <w:adjustRightInd/>
        <w:snapToGrid/>
        <w:spacing w:line="590" w:lineRule="exact"/>
        <w:ind w:firstLine="64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四、</w:t>
      </w:r>
      <w:r>
        <w:rPr>
          <w:rFonts w:hint="eastAsia" w:ascii="Times New Roman" w:hAnsi="Times New Roman" w:eastAsia="方正仿宋_GBK" w:cs="Times New Roman"/>
          <w:b w:val="0"/>
          <w:bCs/>
          <w:sz w:val="32"/>
          <w:szCs w:val="32"/>
          <w:lang w:val="en-US" w:eastAsia="zh-CN" w:bidi="ar-SA"/>
        </w:rPr>
        <w:t>2017</w:t>
      </w:r>
      <w:r>
        <w:rPr>
          <w:rFonts w:hint="eastAsia" w:ascii="方正黑体_GBK" w:hAnsi="方正黑体_GBK" w:eastAsia="方正黑体_GBK" w:cs="方正黑体_GBK"/>
          <w:sz w:val="32"/>
          <w:szCs w:val="32"/>
        </w:rPr>
        <w:t>年农村生活垃圾治理工作安排</w:t>
      </w:r>
    </w:p>
    <w:p w14:paraId="02AE52EC">
      <w:pPr>
        <w:keepNext w:val="0"/>
        <w:keepLines w:val="0"/>
        <w:pageBreakBefore w:val="0"/>
        <w:widowControl w:val="0"/>
        <w:kinsoku/>
        <w:wordWrap/>
        <w:overflowPunct/>
        <w:topLinePunct w:val="0"/>
        <w:autoSpaceDE/>
        <w:autoSpaceDN/>
        <w:bidi w:val="0"/>
        <w:adjustRightInd/>
        <w:snapToGrid/>
        <w:spacing w:line="590" w:lineRule="exact"/>
        <w:ind w:firstLine="643"/>
        <w:jc w:val="left"/>
        <w:textAlignment w:val="auto"/>
        <w:rPr>
          <w:rFonts w:ascii="Times New Roman" w:hAnsi="Times New Roman" w:eastAsia="方正仿宋_GBK" w:cs="Times New Roman"/>
          <w:b w:val="0"/>
          <w:bCs/>
          <w:sz w:val="32"/>
          <w:szCs w:val="32"/>
          <w:lang w:val="en-US" w:eastAsia="zh-CN" w:bidi="ar-SA"/>
        </w:rPr>
      </w:pPr>
      <w:r>
        <w:rPr>
          <w:rFonts w:hint="eastAsia" w:ascii="方正楷体_GBK" w:hAnsi="方正楷体_GBK" w:eastAsia="方正楷体_GBK" w:cs="方正楷体_GBK"/>
          <w:b w:val="0"/>
          <w:bCs w:val="0"/>
          <w:color w:val="000000"/>
          <w:sz w:val="32"/>
          <w:szCs w:val="32"/>
        </w:rPr>
        <w:t>（一）开展陈年垃圾集中清理行动</w:t>
      </w:r>
      <w:r>
        <w:rPr>
          <w:rFonts w:ascii="Times New Roman" w:hAnsi="Times New Roman" w:eastAsia="方正仿宋_GBK" w:cs="Times New Roman"/>
          <w:b w:val="0"/>
          <w:bCs/>
          <w:sz w:val="32"/>
          <w:szCs w:val="32"/>
          <w:lang w:val="en-US" w:eastAsia="zh-CN" w:bidi="ar-SA"/>
        </w:rPr>
        <w:t>（9月底前完成）提高农村环卫保洁精细化水平，消灭农村陈年垃圾，做到乡镇、村庄内外、河边桥头、道路两侧等区域无裸露垃圾，实现保洁队伍覆盖到所有自然村。</w:t>
      </w:r>
    </w:p>
    <w:p w14:paraId="5E557A93">
      <w:pPr>
        <w:keepNext w:val="0"/>
        <w:keepLines w:val="0"/>
        <w:pageBreakBefore w:val="0"/>
        <w:widowControl w:val="0"/>
        <w:kinsoku/>
        <w:wordWrap/>
        <w:overflowPunct/>
        <w:topLinePunct w:val="0"/>
        <w:autoSpaceDE/>
        <w:autoSpaceDN/>
        <w:bidi w:val="0"/>
        <w:adjustRightInd/>
        <w:snapToGrid/>
        <w:spacing w:line="590" w:lineRule="exact"/>
        <w:ind w:firstLine="643"/>
        <w:jc w:val="left"/>
        <w:textAlignment w:val="auto"/>
        <w:rPr>
          <w:rFonts w:ascii="Times New Roman" w:hAnsi="Times New Roman" w:eastAsia="方正仿宋_GBK" w:cs="Times New Roman"/>
          <w:b w:val="0"/>
          <w:bCs/>
          <w:sz w:val="32"/>
          <w:szCs w:val="32"/>
          <w:lang w:val="en-US" w:eastAsia="zh-CN" w:bidi="ar-SA"/>
        </w:rPr>
      </w:pPr>
      <w:r>
        <w:rPr>
          <w:rFonts w:hint="eastAsia" w:ascii="方正楷体_GBK" w:hAnsi="方正楷体_GBK" w:eastAsia="方正楷体_GBK" w:cs="方正楷体_GBK"/>
          <w:b w:val="0"/>
          <w:bCs w:val="0"/>
          <w:color w:val="000000"/>
          <w:sz w:val="32"/>
          <w:szCs w:val="32"/>
        </w:rPr>
        <w:t>（二）开展非正规垃圾堆放点整治工作</w:t>
      </w:r>
      <w:r>
        <w:rPr>
          <w:rFonts w:ascii="Times New Roman" w:hAnsi="Times New Roman" w:eastAsia="方正仿宋_GBK" w:cs="Times New Roman"/>
          <w:b w:val="0"/>
          <w:bCs/>
          <w:sz w:val="32"/>
          <w:szCs w:val="32"/>
          <w:lang w:val="en-US" w:eastAsia="zh-CN" w:bidi="ar-SA"/>
        </w:rPr>
        <w:t>（12月底前完成）根据省住建厅颁布的全省非正规垃圾堆放点整治技术指南，委托有资质的单位，通过清运处理、覆土绿化、开挖筛分、帷幕防渗等措施，完成非正规垃圾堆放点整治任务。</w:t>
      </w:r>
    </w:p>
    <w:p w14:paraId="61179F2E">
      <w:pPr>
        <w:keepNext w:val="0"/>
        <w:keepLines w:val="0"/>
        <w:pageBreakBefore w:val="0"/>
        <w:widowControl w:val="0"/>
        <w:kinsoku/>
        <w:wordWrap/>
        <w:overflowPunct/>
        <w:topLinePunct w:val="0"/>
        <w:autoSpaceDE/>
        <w:autoSpaceDN/>
        <w:bidi w:val="0"/>
        <w:adjustRightInd/>
        <w:snapToGrid/>
        <w:spacing w:line="590" w:lineRule="exact"/>
        <w:ind w:firstLine="643"/>
        <w:jc w:val="left"/>
        <w:textAlignment w:val="auto"/>
        <w:rPr>
          <w:rFonts w:ascii="Times New Roman" w:hAnsi="Times New Roman" w:eastAsia="方正仿宋_GBK" w:cs="Times New Roman"/>
          <w:b w:val="0"/>
          <w:bCs/>
          <w:sz w:val="32"/>
          <w:szCs w:val="32"/>
          <w:lang w:val="en-US" w:eastAsia="zh-CN" w:bidi="ar-SA"/>
        </w:rPr>
      </w:pPr>
      <w:r>
        <w:rPr>
          <w:rFonts w:hint="eastAsia" w:ascii="方正楷体_GBK" w:hAnsi="方正楷体_GBK" w:eastAsia="方正楷体_GBK" w:cs="方正楷体_GBK"/>
          <w:b w:val="0"/>
          <w:bCs w:val="0"/>
          <w:color w:val="000000"/>
          <w:sz w:val="32"/>
          <w:szCs w:val="32"/>
        </w:rPr>
        <w:t>（三）推进农村生活垃圾分类和资源化利用</w:t>
      </w:r>
      <w:r>
        <w:rPr>
          <w:rFonts w:ascii="Times New Roman" w:hAnsi="Times New Roman" w:eastAsia="方正仿宋_GBK" w:cs="Times New Roman"/>
          <w:b w:val="0"/>
          <w:bCs/>
          <w:sz w:val="32"/>
          <w:szCs w:val="32"/>
          <w:lang w:val="en-US" w:eastAsia="zh-CN" w:bidi="ar-SA"/>
        </w:rPr>
        <w:t>（12月底前完成）。因地制宜制定农村生活垃圾分类和资源化利用实施方案。开展农村生活垃圾分类试点工作，形成示范带动效应。</w:t>
      </w:r>
    </w:p>
    <w:p w14:paraId="6BB998F1">
      <w:pPr>
        <w:keepNext w:val="0"/>
        <w:keepLines w:val="0"/>
        <w:pageBreakBefore w:val="0"/>
        <w:widowControl w:val="0"/>
        <w:kinsoku/>
        <w:wordWrap/>
        <w:overflowPunct/>
        <w:topLinePunct w:val="0"/>
        <w:autoSpaceDE/>
        <w:autoSpaceDN/>
        <w:bidi w:val="0"/>
        <w:adjustRightInd/>
        <w:snapToGrid/>
        <w:spacing w:line="590" w:lineRule="exact"/>
        <w:ind w:firstLine="643"/>
        <w:jc w:val="left"/>
        <w:textAlignment w:val="auto"/>
        <w:rPr>
          <w:rFonts w:hint="eastAsia" w:ascii="方正楷体_GBK" w:hAnsi="方正楷体_GBK" w:eastAsia="方正楷体_GBK" w:cs="方正楷体_GBK"/>
          <w:b w:val="0"/>
          <w:bCs w:val="0"/>
          <w:color w:val="000000"/>
          <w:sz w:val="32"/>
          <w:szCs w:val="32"/>
        </w:rPr>
      </w:pPr>
      <w:r>
        <w:rPr>
          <w:rFonts w:hint="eastAsia" w:ascii="方正楷体_GBK" w:hAnsi="方正楷体_GBK" w:eastAsia="方正楷体_GBK" w:cs="方正楷体_GBK"/>
          <w:b w:val="0"/>
          <w:bCs w:val="0"/>
          <w:color w:val="000000"/>
          <w:sz w:val="32"/>
          <w:szCs w:val="32"/>
        </w:rPr>
        <w:t>（四）总结评估</w:t>
      </w:r>
    </w:p>
    <w:p w14:paraId="7ACA5AEF">
      <w:pPr>
        <w:keepNext w:val="0"/>
        <w:keepLines w:val="0"/>
        <w:pageBreakBefore w:val="0"/>
        <w:widowControl w:val="0"/>
        <w:kinsoku/>
        <w:wordWrap/>
        <w:overflowPunct/>
        <w:topLinePunct w:val="0"/>
        <w:autoSpaceDE/>
        <w:autoSpaceDN/>
        <w:bidi w:val="0"/>
        <w:adjustRightInd/>
        <w:snapToGrid/>
        <w:spacing w:line="590" w:lineRule="exact"/>
        <w:ind w:firstLine="640"/>
        <w:jc w:val="left"/>
        <w:textAlignment w:val="auto"/>
        <w:rPr>
          <w:rFonts w:ascii="Times New Roman" w:hAnsi="Times New Roman" w:eastAsia="方正仿宋_GBK" w:cs="Times New Roman"/>
          <w:b w:val="0"/>
          <w:bCs/>
          <w:sz w:val="32"/>
          <w:szCs w:val="32"/>
          <w:lang w:val="en-US" w:eastAsia="zh-CN" w:bidi="ar-SA"/>
        </w:rPr>
      </w:pPr>
      <w:r>
        <w:rPr>
          <w:rFonts w:ascii="Times New Roman" w:hAnsi="Times New Roman" w:eastAsia="方正仿宋_GBK" w:cs="Times New Roman"/>
          <w:b w:val="0"/>
          <w:bCs/>
          <w:sz w:val="32"/>
          <w:szCs w:val="32"/>
          <w:lang w:val="en-US" w:eastAsia="zh-CN" w:bidi="ar-SA"/>
        </w:rPr>
        <w:t>区直相关部门组成检查考核组，对农村垃圾治理工作进行总结评估考核，逐村、逐点验收，做好市政府考核验收准备。同时，总结工作经验，完善相应机制，提出下一阶段工作目标和计划。</w:t>
      </w:r>
    </w:p>
    <w:p w14:paraId="75E4C1A4">
      <w:pPr>
        <w:keepNext w:val="0"/>
        <w:keepLines w:val="0"/>
        <w:pageBreakBefore w:val="0"/>
        <w:widowControl w:val="0"/>
        <w:kinsoku/>
        <w:wordWrap/>
        <w:overflowPunct/>
        <w:topLinePunct w:val="0"/>
        <w:autoSpaceDE/>
        <w:autoSpaceDN/>
        <w:bidi w:val="0"/>
        <w:adjustRightInd/>
        <w:snapToGrid/>
        <w:spacing w:line="590" w:lineRule="exact"/>
        <w:ind w:firstLine="645"/>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五、保障措施</w:t>
      </w:r>
    </w:p>
    <w:p w14:paraId="53E9D89A">
      <w:pPr>
        <w:keepNext w:val="0"/>
        <w:keepLines w:val="0"/>
        <w:pageBreakBefore w:val="0"/>
        <w:widowControl w:val="0"/>
        <w:kinsoku/>
        <w:wordWrap/>
        <w:overflowPunct/>
        <w:topLinePunct w:val="0"/>
        <w:autoSpaceDE/>
        <w:autoSpaceDN/>
        <w:bidi w:val="0"/>
        <w:adjustRightInd/>
        <w:snapToGrid/>
        <w:spacing w:line="590" w:lineRule="exact"/>
        <w:ind w:firstLine="630"/>
        <w:textAlignment w:val="auto"/>
        <w:rPr>
          <w:rFonts w:ascii="Times New Roman" w:hAnsi="Times New Roman" w:eastAsia="方正仿宋_GBK" w:cs="Times New Roman"/>
          <w:b w:val="0"/>
          <w:bCs/>
          <w:sz w:val="32"/>
          <w:szCs w:val="32"/>
          <w:lang w:val="en-US" w:eastAsia="zh-CN" w:bidi="ar-SA"/>
        </w:rPr>
      </w:pPr>
      <w:r>
        <w:rPr>
          <w:rFonts w:hint="eastAsia" w:ascii="方正楷体_GBK" w:hAnsi="方正楷体_GBK" w:eastAsia="方正楷体_GBK" w:cs="方正楷体_GBK"/>
          <w:b w:val="0"/>
          <w:bCs w:val="0"/>
          <w:sz w:val="32"/>
          <w:szCs w:val="32"/>
        </w:rPr>
        <w:t>（一）加强组织领导。</w:t>
      </w:r>
      <w:r>
        <w:rPr>
          <w:rFonts w:ascii="Times New Roman" w:hAnsi="Times New Roman" w:eastAsia="方正仿宋_GBK" w:cs="Times New Roman"/>
          <w:b w:val="0"/>
          <w:bCs/>
          <w:sz w:val="32"/>
          <w:szCs w:val="32"/>
          <w:lang w:val="en-US" w:eastAsia="zh-CN" w:bidi="ar-SA"/>
        </w:rPr>
        <w:t>在郊区美丽乡村建设工作领导小组的领导下，成立郊区农村垃圾治理推进工作组，由俞茂进副区长任组长、吴高明局长任副组长，区文明办、区财政局、区发改委、区住建局、区农林水务局、区环保局、区执法局和各乡镇办等部门为成员单位，工作组办公室设在郊区城市管理行政执法局，具体负责农村垃圾治理的组织、指导、检查、考核等工作。</w:t>
      </w:r>
    </w:p>
    <w:p w14:paraId="0802956F">
      <w:pPr>
        <w:keepNext w:val="0"/>
        <w:keepLines w:val="0"/>
        <w:pageBreakBefore w:val="0"/>
        <w:widowControl w:val="0"/>
        <w:kinsoku/>
        <w:wordWrap/>
        <w:overflowPunct/>
        <w:topLinePunct w:val="0"/>
        <w:autoSpaceDE/>
        <w:autoSpaceDN/>
        <w:bidi w:val="0"/>
        <w:adjustRightInd/>
        <w:snapToGrid/>
        <w:spacing w:line="590" w:lineRule="exact"/>
        <w:ind w:firstLine="645"/>
        <w:textAlignment w:val="auto"/>
        <w:rPr>
          <w:rFonts w:ascii="Times New Roman" w:hAnsi="Times New Roman" w:eastAsia="方正仿宋_GBK" w:cs="Times New Roman"/>
          <w:b w:val="0"/>
          <w:bCs/>
          <w:sz w:val="32"/>
          <w:szCs w:val="32"/>
          <w:lang w:val="en-US" w:eastAsia="zh-CN" w:bidi="ar-SA"/>
        </w:rPr>
      </w:pPr>
      <w:r>
        <w:rPr>
          <w:rFonts w:hint="eastAsia" w:ascii="方正楷体_GBK" w:hAnsi="方正楷体_GBK" w:eastAsia="方正楷体_GBK" w:cs="方正楷体_GBK"/>
          <w:b w:val="0"/>
          <w:bCs w:val="0"/>
          <w:sz w:val="32"/>
          <w:szCs w:val="32"/>
        </w:rPr>
        <w:t>（二）明确工作职责。</w:t>
      </w:r>
      <w:r>
        <w:rPr>
          <w:rFonts w:ascii="Times New Roman" w:hAnsi="Times New Roman" w:eastAsia="方正仿宋_GBK" w:cs="Times New Roman"/>
          <w:b w:val="0"/>
          <w:bCs/>
          <w:sz w:val="32"/>
          <w:szCs w:val="32"/>
          <w:lang w:val="en-US" w:eastAsia="zh-CN" w:bidi="ar-SA"/>
        </w:rPr>
        <w:t>各有关部门各司其职，各负其责，共同推进农村垃圾治理工作。郊区城管局牵头负责农村生活垃圾治理工作。郊区环保局牵头负责农村工业固体废物治理工作，统筹协调秸秆综合利用工作。郊区农林水务局牵头负责农业生产废弃物治理工作。郊区财政局牵头负责资金保障，落实奖补资金。郊区发改委负责将农村垃圾治理纳入相关规划，争取相关项目资金支持。郊区文明办负责将农村垃圾治理与爱国卫生运动紧密结合起来。</w:t>
      </w:r>
    </w:p>
    <w:p w14:paraId="06D29F3B">
      <w:pPr>
        <w:keepNext w:val="0"/>
        <w:keepLines w:val="0"/>
        <w:pageBreakBefore w:val="0"/>
        <w:widowControl w:val="0"/>
        <w:kinsoku/>
        <w:wordWrap/>
        <w:overflowPunct/>
        <w:topLinePunct w:val="0"/>
        <w:autoSpaceDE/>
        <w:autoSpaceDN/>
        <w:bidi w:val="0"/>
        <w:adjustRightInd/>
        <w:snapToGrid/>
        <w:spacing w:line="590" w:lineRule="exact"/>
        <w:ind w:firstLine="645"/>
        <w:textAlignment w:val="auto"/>
        <w:rPr>
          <w:rFonts w:hint="eastAsia" w:ascii="Times New Roman" w:hAnsi="Times New Roman" w:eastAsia="方正仿宋_GBK" w:cs="Times New Roman"/>
          <w:b w:val="0"/>
          <w:bCs/>
          <w:sz w:val="32"/>
          <w:szCs w:val="32"/>
          <w:lang w:val="en-US" w:eastAsia="zh-CN" w:bidi="ar-SA"/>
        </w:rPr>
      </w:pPr>
      <w:r>
        <w:rPr>
          <w:rFonts w:hint="eastAsia" w:ascii="方正楷体_GBK" w:hAnsi="方正楷体_GBK" w:eastAsia="方正楷体_GBK" w:cs="方正楷体_GBK"/>
          <w:b w:val="0"/>
          <w:bCs w:val="0"/>
          <w:sz w:val="32"/>
          <w:szCs w:val="32"/>
        </w:rPr>
        <w:t>（三）落实保障资金。</w:t>
      </w:r>
      <w:r>
        <w:rPr>
          <w:rFonts w:ascii="Times New Roman" w:hAnsi="Times New Roman" w:eastAsia="方正仿宋_GBK" w:cs="Times New Roman"/>
          <w:b w:val="0"/>
          <w:bCs/>
          <w:sz w:val="32"/>
          <w:szCs w:val="32"/>
          <w:lang w:val="en-US" w:eastAsia="zh-CN" w:bidi="ar-SA"/>
        </w:rPr>
        <w:t>结合美丽乡村建设、“三线三边”整治、自然村环境综合整治、农村清洁工程建后管养、上级补助资金等，拓展资金渠道，鼓励社会资本参与农村垃圾治理项目，多方筹措农村垃圾治理经费。</w:t>
      </w:r>
    </w:p>
    <w:p w14:paraId="353B4DAA">
      <w:pPr>
        <w:keepNext w:val="0"/>
        <w:keepLines w:val="0"/>
        <w:pageBreakBefore w:val="0"/>
        <w:widowControl w:val="0"/>
        <w:kinsoku/>
        <w:wordWrap/>
        <w:overflowPunct/>
        <w:topLinePunct w:val="0"/>
        <w:autoSpaceDE/>
        <w:autoSpaceDN/>
        <w:bidi w:val="0"/>
        <w:adjustRightInd/>
        <w:snapToGrid/>
        <w:spacing w:line="590" w:lineRule="exact"/>
        <w:ind w:firstLine="645"/>
        <w:textAlignment w:val="auto"/>
        <w:rPr>
          <w:rFonts w:ascii="Times New Roman" w:hAnsi="Times New Roman" w:eastAsia="方正仿宋_GBK" w:cs="Times New Roman"/>
          <w:b w:val="0"/>
          <w:bCs/>
          <w:sz w:val="32"/>
          <w:szCs w:val="32"/>
          <w:lang w:val="en-US" w:eastAsia="zh-CN" w:bidi="ar-SA"/>
        </w:rPr>
      </w:pPr>
      <w:r>
        <w:rPr>
          <w:rFonts w:hint="eastAsia" w:ascii="方正楷体_GBK" w:hAnsi="方正楷体_GBK" w:eastAsia="方正楷体_GBK" w:cs="方正楷体_GBK"/>
          <w:b w:val="0"/>
          <w:bCs w:val="0"/>
          <w:sz w:val="32"/>
          <w:szCs w:val="32"/>
        </w:rPr>
        <w:t>（四）强化监督考核。</w:t>
      </w:r>
      <w:r>
        <w:rPr>
          <w:rFonts w:ascii="Times New Roman" w:hAnsi="Times New Roman" w:eastAsia="方正仿宋_GBK" w:cs="Times New Roman"/>
          <w:b w:val="0"/>
          <w:bCs/>
          <w:sz w:val="32"/>
          <w:szCs w:val="32"/>
          <w:lang w:val="en-US" w:eastAsia="zh-CN" w:bidi="ar-SA"/>
        </w:rPr>
        <w:t>建立健全农村垃圾治理考核办法，作为美丽乡村建设考核的重要内容，纳入乡镇办年度目标管理绩效考核。加强日常督查，采取现场督导、定期通报、专项检查等多种方式，及时督查督办，确保工作落实。健全群众监督机制，设立公开电话、投诉信箱，把群众满意度作为评价工作成效的重要依据。区住建局、区文明办、区爱卫办、区文旅委分别将农村垃圾专项整治纳入城乡人居环境范例奖、文明村镇、卫生村镇、改善农村人居环境示范村、绿色村庄、全域旅游示范区、美丽宜居小镇（村庄）、特色景观旅游名镇（村）等创建内容。</w:t>
      </w:r>
    </w:p>
    <w:p w14:paraId="08271AB0">
      <w:pPr>
        <w:keepNext w:val="0"/>
        <w:keepLines w:val="0"/>
        <w:pageBreakBefore w:val="0"/>
        <w:widowControl w:val="0"/>
        <w:kinsoku/>
        <w:wordWrap/>
        <w:overflowPunct/>
        <w:topLinePunct w:val="0"/>
        <w:autoSpaceDE/>
        <w:autoSpaceDN/>
        <w:bidi w:val="0"/>
        <w:adjustRightInd/>
        <w:snapToGrid/>
        <w:spacing w:line="590" w:lineRule="exact"/>
        <w:jc w:val="left"/>
        <w:textAlignment w:val="auto"/>
        <w:rPr>
          <w:rFonts w:hint="eastAsia" w:ascii="Times New Roman" w:hAnsi="Times New Roman" w:eastAsia="方正小标宋_GBK" w:cs="Times New Roman"/>
          <w:bCs/>
          <w:sz w:val="44"/>
          <w:szCs w:val="44"/>
          <w:lang w:val="en-US" w:eastAsia="zh-CN" w:bidi="ar-SA"/>
        </w:rPr>
      </w:pPr>
    </w:p>
    <w:p w14:paraId="40D33D0F">
      <w:pPr>
        <w:keepNext w:val="0"/>
        <w:keepLines w:val="0"/>
        <w:pageBreakBefore w:val="0"/>
        <w:widowControl w:val="0"/>
        <w:kinsoku/>
        <w:wordWrap/>
        <w:overflowPunct/>
        <w:topLinePunct w:val="0"/>
        <w:autoSpaceDE/>
        <w:autoSpaceDN/>
        <w:bidi w:val="0"/>
        <w:adjustRightInd/>
        <w:snapToGrid/>
        <w:spacing w:line="590" w:lineRule="exact"/>
        <w:jc w:val="left"/>
        <w:textAlignment w:val="auto"/>
        <w:rPr>
          <w:rFonts w:hint="eastAsia" w:ascii="Times New Roman" w:hAnsi="Times New Roman" w:eastAsia="方正小标宋_GBK" w:cs="Times New Roman"/>
          <w:bCs/>
          <w:sz w:val="44"/>
          <w:szCs w:val="44"/>
          <w:lang w:val="en-US" w:eastAsia="zh-CN" w:bidi="ar-SA"/>
        </w:rPr>
      </w:pPr>
    </w:p>
    <w:p w14:paraId="0E12E70B">
      <w:pPr>
        <w:keepNext w:val="0"/>
        <w:keepLines w:val="0"/>
        <w:pageBreakBefore w:val="0"/>
        <w:widowControl w:val="0"/>
        <w:kinsoku/>
        <w:wordWrap/>
        <w:overflowPunct/>
        <w:topLinePunct w:val="0"/>
        <w:autoSpaceDE/>
        <w:autoSpaceDN/>
        <w:bidi w:val="0"/>
        <w:adjustRightInd/>
        <w:snapToGrid/>
        <w:spacing w:line="590" w:lineRule="exact"/>
        <w:jc w:val="left"/>
        <w:textAlignment w:val="auto"/>
        <w:rPr>
          <w:rFonts w:hint="eastAsia" w:ascii="Times New Roman" w:hAnsi="Times New Roman" w:eastAsia="方正小标宋_GBK" w:cs="Times New Roman"/>
          <w:bCs/>
          <w:sz w:val="44"/>
          <w:szCs w:val="44"/>
          <w:lang w:val="en-US" w:eastAsia="zh-CN" w:bidi="ar-SA"/>
        </w:rPr>
      </w:pPr>
    </w:p>
    <w:p w14:paraId="572EA39E">
      <w:pPr>
        <w:keepNext w:val="0"/>
        <w:keepLines w:val="0"/>
        <w:pageBreakBefore w:val="0"/>
        <w:widowControl w:val="0"/>
        <w:kinsoku/>
        <w:wordWrap/>
        <w:overflowPunct/>
        <w:topLinePunct w:val="0"/>
        <w:autoSpaceDE/>
        <w:autoSpaceDN/>
        <w:bidi w:val="0"/>
        <w:adjustRightInd/>
        <w:snapToGrid/>
        <w:spacing w:line="590" w:lineRule="exact"/>
        <w:jc w:val="left"/>
        <w:textAlignment w:val="auto"/>
        <w:rPr>
          <w:rFonts w:hint="eastAsia" w:ascii="Times New Roman" w:hAnsi="Times New Roman" w:eastAsia="方正小标宋_GBK" w:cs="Times New Roman"/>
          <w:bCs/>
          <w:sz w:val="44"/>
          <w:szCs w:val="44"/>
          <w:lang w:val="en-US" w:eastAsia="zh-CN" w:bidi="ar-SA"/>
        </w:rPr>
      </w:pPr>
    </w:p>
    <w:p w14:paraId="335622EC">
      <w:pPr>
        <w:keepNext w:val="0"/>
        <w:keepLines w:val="0"/>
        <w:pageBreakBefore w:val="0"/>
        <w:widowControl w:val="0"/>
        <w:kinsoku/>
        <w:wordWrap/>
        <w:overflowPunct/>
        <w:topLinePunct w:val="0"/>
        <w:autoSpaceDE/>
        <w:autoSpaceDN/>
        <w:bidi w:val="0"/>
        <w:adjustRightInd/>
        <w:snapToGrid/>
        <w:spacing w:line="590" w:lineRule="exact"/>
        <w:jc w:val="left"/>
        <w:textAlignment w:val="auto"/>
        <w:rPr>
          <w:rFonts w:hint="eastAsia" w:ascii="Times New Roman" w:hAnsi="Times New Roman" w:eastAsia="方正小标宋_GBK" w:cs="Times New Roman"/>
          <w:bCs/>
          <w:sz w:val="44"/>
          <w:szCs w:val="44"/>
          <w:lang w:val="en-US" w:eastAsia="zh-CN" w:bidi="ar-SA"/>
        </w:rPr>
      </w:pPr>
    </w:p>
    <w:p w14:paraId="3603DEEB">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郊区农村卫生厕所改造工作实施方案</w:t>
      </w:r>
    </w:p>
    <w:p w14:paraId="1ABAE570">
      <w:pPr>
        <w:keepNext w:val="0"/>
        <w:keepLines w:val="0"/>
        <w:pageBreakBefore w:val="0"/>
        <w:widowControl w:val="0"/>
        <w:kinsoku/>
        <w:wordWrap/>
        <w:overflowPunct/>
        <w:topLinePunct w:val="0"/>
        <w:autoSpaceDE/>
        <w:autoSpaceDN/>
        <w:bidi w:val="0"/>
        <w:adjustRightInd/>
        <w:snapToGrid/>
        <w:spacing w:line="590" w:lineRule="exact"/>
        <w:textAlignment w:val="auto"/>
      </w:pPr>
    </w:p>
    <w:p w14:paraId="39290747">
      <w:pPr>
        <w:keepNext w:val="0"/>
        <w:keepLines w:val="0"/>
        <w:pageBreakBefore w:val="0"/>
        <w:widowControl w:val="0"/>
        <w:kinsoku/>
        <w:wordWrap/>
        <w:overflowPunct/>
        <w:topLinePunct w:val="0"/>
        <w:autoSpaceDE/>
        <w:autoSpaceDN/>
        <w:bidi w:val="0"/>
        <w:adjustRightInd/>
        <w:snapToGrid/>
        <w:spacing w:line="590" w:lineRule="exact"/>
        <w:ind w:firstLine="645"/>
        <w:textAlignment w:val="auto"/>
        <w:rPr>
          <w:rFonts w:hint="eastAsia" w:ascii="Times New Roman" w:hAnsi="Times New Roman" w:eastAsia="方正仿宋_GBK" w:cs="Times New Roman"/>
          <w:b w:val="0"/>
          <w:bCs/>
          <w:sz w:val="32"/>
          <w:szCs w:val="32"/>
          <w:lang w:val="en-US" w:eastAsia="zh-CN" w:bidi="ar-SA"/>
        </w:rPr>
      </w:pPr>
      <w:r>
        <w:rPr>
          <w:rFonts w:ascii="Times New Roman" w:hAnsi="Times New Roman" w:eastAsia="方正仿宋_GBK" w:cs="Times New Roman"/>
          <w:b w:val="0"/>
          <w:bCs/>
          <w:sz w:val="32"/>
          <w:szCs w:val="32"/>
          <w:lang w:val="en-US" w:eastAsia="zh-CN" w:bidi="ar-SA"/>
        </w:rPr>
        <w:t>为贯彻落实省委办公厅、省政府办公厅《一体化推进农村垃圾污水厕所专项整治办快改善农村人居环境实施方案》（皖办发〔2017〕27号）及2017年5月26日全省美丽乡村建设推进会以及《铜陵市农村卫生厕所改造工作实施方案》的相关精神，大力推进我区农村厕所专项治理行动，结合我区实际，制定本工作实施方案。</w:t>
      </w:r>
    </w:p>
    <w:p w14:paraId="709A8B5F">
      <w:pPr>
        <w:keepNext w:val="0"/>
        <w:keepLines w:val="0"/>
        <w:pageBreakBefore w:val="0"/>
        <w:widowControl w:val="0"/>
        <w:kinsoku/>
        <w:wordWrap/>
        <w:overflowPunct/>
        <w:topLinePunct w:val="0"/>
        <w:autoSpaceDE/>
        <w:autoSpaceDN/>
        <w:bidi w:val="0"/>
        <w:adjustRightInd/>
        <w:snapToGrid/>
        <w:spacing w:line="590" w:lineRule="exact"/>
        <w:ind w:firstLine="645"/>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一、总体目标</w:t>
      </w:r>
    </w:p>
    <w:p w14:paraId="14A4B49B">
      <w:pPr>
        <w:keepNext w:val="0"/>
        <w:keepLines w:val="0"/>
        <w:pageBreakBefore w:val="0"/>
        <w:widowControl w:val="0"/>
        <w:kinsoku/>
        <w:wordWrap/>
        <w:overflowPunct/>
        <w:topLinePunct w:val="0"/>
        <w:autoSpaceDE/>
        <w:autoSpaceDN/>
        <w:bidi w:val="0"/>
        <w:adjustRightInd/>
        <w:snapToGrid/>
        <w:spacing w:line="590" w:lineRule="exact"/>
        <w:ind w:firstLine="645"/>
        <w:textAlignment w:val="auto"/>
        <w:rPr>
          <w:rFonts w:hint="eastAsia" w:ascii="Times New Roman" w:hAnsi="Times New Roman" w:eastAsia="方正仿宋_GBK" w:cs="Times New Roman"/>
          <w:b w:val="0"/>
          <w:bCs/>
          <w:sz w:val="32"/>
          <w:szCs w:val="32"/>
          <w:lang w:val="en-US" w:eastAsia="zh-CN" w:bidi="ar-SA"/>
        </w:rPr>
      </w:pPr>
      <w:r>
        <w:rPr>
          <w:rFonts w:ascii="Times New Roman" w:hAnsi="Times New Roman" w:eastAsia="方正仿宋_GBK" w:cs="Times New Roman"/>
          <w:b w:val="0"/>
          <w:bCs/>
          <w:sz w:val="32"/>
          <w:szCs w:val="32"/>
          <w:lang w:val="en-US" w:eastAsia="zh-CN" w:bidi="ar-SA"/>
        </w:rPr>
        <w:t>到2020年，全面完成我区19个村（居）共2436户（需改厕）农村改厕工作，实现农村无害化卫生厕所全覆盖，确保到2020年底，我区所有农村常住农户卫生厕所普及率100%，有效解决农村环境脏乱差问题，促进农村经济持续发展和社会稳定。具体为：</w:t>
      </w:r>
    </w:p>
    <w:p w14:paraId="094D3F6E">
      <w:pPr>
        <w:keepNext w:val="0"/>
        <w:keepLines w:val="0"/>
        <w:pageBreakBefore w:val="0"/>
        <w:widowControl w:val="0"/>
        <w:kinsoku/>
        <w:wordWrap/>
        <w:overflowPunct/>
        <w:topLinePunct w:val="0"/>
        <w:autoSpaceDE/>
        <w:autoSpaceDN/>
        <w:bidi w:val="0"/>
        <w:adjustRightInd/>
        <w:snapToGrid/>
        <w:spacing w:line="590" w:lineRule="exact"/>
        <w:ind w:firstLine="645"/>
        <w:textAlignment w:val="auto"/>
        <w:rPr>
          <w:rFonts w:hint="eastAsia" w:ascii="Times New Roman" w:hAnsi="Times New Roman" w:eastAsia="方正仿宋_GBK" w:cs="Times New Roman"/>
          <w:b w:val="0"/>
          <w:bCs/>
          <w:sz w:val="32"/>
          <w:szCs w:val="32"/>
          <w:lang w:val="en-US" w:eastAsia="zh-CN" w:bidi="ar-SA"/>
        </w:rPr>
      </w:pPr>
      <w:r>
        <w:rPr>
          <w:rFonts w:ascii="Times New Roman" w:hAnsi="Times New Roman" w:eastAsia="方正仿宋_GBK" w:cs="Times New Roman"/>
          <w:b w:val="0"/>
          <w:bCs/>
          <w:sz w:val="32"/>
          <w:szCs w:val="32"/>
          <w:lang w:val="en-US" w:eastAsia="zh-CN" w:bidi="ar-SA"/>
        </w:rPr>
        <w:t>1</w:t>
      </w:r>
      <w:r>
        <w:rPr>
          <w:rFonts w:hint="eastAsia" w:ascii="Times New Roman" w:hAnsi="Times New Roman" w:eastAsia="方正仿宋_GBK" w:cs="Times New Roman"/>
          <w:b w:val="0"/>
          <w:bCs/>
          <w:sz w:val="32"/>
          <w:szCs w:val="32"/>
          <w:lang w:val="en-US" w:eastAsia="zh-CN" w:bidi="ar-SA"/>
        </w:rPr>
        <w:t xml:space="preserve">. </w:t>
      </w:r>
      <w:r>
        <w:rPr>
          <w:rFonts w:ascii="Times New Roman" w:hAnsi="Times New Roman" w:eastAsia="方正仿宋_GBK" w:cs="Times New Roman"/>
          <w:b w:val="0"/>
          <w:bCs/>
          <w:sz w:val="32"/>
          <w:szCs w:val="32"/>
          <w:lang w:val="en-US" w:eastAsia="zh-CN" w:bidi="ar-SA"/>
        </w:rPr>
        <w:t>2017年农村改厕目标：区住建局和区美丽办完成郊区美丽乡村省乡中心村及乡镇驻地建成区改厕工作；</w:t>
      </w:r>
    </w:p>
    <w:p w14:paraId="6AA1FE95">
      <w:pPr>
        <w:keepNext w:val="0"/>
        <w:keepLines w:val="0"/>
        <w:pageBreakBefore w:val="0"/>
        <w:widowControl w:val="0"/>
        <w:kinsoku/>
        <w:wordWrap/>
        <w:overflowPunct/>
        <w:topLinePunct w:val="0"/>
        <w:autoSpaceDE/>
        <w:autoSpaceDN/>
        <w:bidi w:val="0"/>
        <w:adjustRightInd/>
        <w:snapToGrid/>
        <w:spacing w:line="590" w:lineRule="exact"/>
        <w:ind w:firstLine="645"/>
        <w:textAlignment w:val="auto"/>
        <w:rPr>
          <w:rFonts w:hint="eastAsia" w:ascii="Times New Roman" w:hAnsi="Times New Roman" w:eastAsia="方正仿宋_GBK" w:cs="Times New Roman"/>
          <w:b w:val="0"/>
          <w:bCs/>
          <w:sz w:val="32"/>
          <w:szCs w:val="32"/>
          <w:lang w:val="en-US" w:eastAsia="zh-CN" w:bidi="ar-SA"/>
        </w:rPr>
      </w:pPr>
      <w:r>
        <w:rPr>
          <w:rFonts w:ascii="Times New Roman" w:hAnsi="Times New Roman" w:eastAsia="方正仿宋_GBK" w:cs="Times New Roman"/>
          <w:b w:val="0"/>
          <w:bCs/>
          <w:sz w:val="32"/>
          <w:szCs w:val="32"/>
          <w:lang w:val="en-US" w:eastAsia="zh-CN" w:bidi="ar-SA"/>
        </w:rPr>
        <w:t>2</w:t>
      </w:r>
      <w:r>
        <w:rPr>
          <w:rFonts w:hint="eastAsia" w:ascii="Times New Roman" w:hAnsi="Times New Roman" w:eastAsia="方正仿宋_GBK" w:cs="Times New Roman"/>
          <w:b w:val="0"/>
          <w:bCs/>
          <w:sz w:val="32"/>
          <w:szCs w:val="32"/>
          <w:lang w:val="en-US" w:eastAsia="zh-CN" w:bidi="ar-SA"/>
        </w:rPr>
        <w:t xml:space="preserve">. </w:t>
      </w:r>
      <w:r>
        <w:rPr>
          <w:rFonts w:ascii="Times New Roman" w:hAnsi="Times New Roman" w:eastAsia="方正仿宋_GBK" w:cs="Times New Roman"/>
          <w:b w:val="0"/>
          <w:bCs/>
          <w:sz w:val="32"/>
          <w:szCs w:val="32"/>
          <w:lang w:val="en-US" w:eastAsia="zh-CN" w:bidi="ar-SA"/>
        </w:rPr>
        <w:t>2018年农村改厕目标：完成郊区6个基础条件较好的村（居）改厕工作；</w:t>
      </w:r>
    </w:p>
    <w:p w14:paraId="08554443">
      <w:pPr>
        <w:keepNext w:val="0"/>
        <w:keepLines w:val="0"/>
        <w:pageBreakBefore w:val="0"/>
        <w:widowControl w:val="0"/>
        <w:kinsoku/>
        <w:wordWrap/>
        <w:overflowPunct/>
        <w:topLinePunct w:val="0"/>
        <w:autoSpaceDE/>
        <w:autoSpaceDN/>
        <w:bidi w:val="0"/>
        <w:adjustRightInd/>
        <w:snapToGrid/>
        <w:spacing w:line="590" w:lineRule="exact"/>
        <w:ind w:firstLine="645"/>
        <w:textAlignment w:val="auto"/>
        <w:rPr>
          <w:rFonts w:hint="eastAsia" w:ascii="Times New Roman" w:hAnsi="Times New Roman" w:eastAsia="方正仿宋_GBK" w:cs="Times New Roman"/>
          <w:b w:val="0"/>
          <w:bCs/>
          <w:sz w:val="32"/>
          <w:szCs w:val="32"/>
          <w:lang w:val="en-US" w:eastAsia="zh-CN" w:bidi="ar-SA"/>
        </w:rPr>
      </w:pPr>
      <w:r>
        <w:rPr>
          <w:rFonts w:ascii="Times New Roman" w:hAnsi="Times New Roman" w:eastAsia="方正仿宋_GBK" w:cs="Times New Roman"/>
          <w:b w:val="0"/>
          <w:bCs/>
          <w:sz w:val="32"/>
          <w:szCs w:val="32"/>
          <w:lang w:val="en-US" w:eastAsia="zh-CN" w:bidi="ar-SA"/>
        </w:rPr>
        <w:t>3</w:t>
      </w:r>
      <w:r>
        <w:rPr>
          <w:rFonts w:hint="eastAsia" w:ascii="Times New Roman" w:hAnsi="Times New Roman" w:eastAsia="方正仿宋_GBK" w:cs="Times New Roman"/>
          <w:b w:val="0"/>
          <w:bCs/>
          <w:sz w:val="32"/>
          <w:szCs w:val="32"/>
          <w:lang w:val="en-US" w:eastAsia="zh-CN" w:bidi="ar-SA"/>
        </w:rPr>
        <w:t xml:space="preserve">. </w:t>
      </w:r>
      <w:r>
        <w:rPr>
          <w:rFonts w:ascii="Times New Roman" w:hAnsi="Times New Roman" w:eastAsia="方正仿宋_GBK" w:cs="Times New Roman"/>
          <w:b w:val="0"/>
          <w:bCs/>
          <w:sz w:val="32"/>
          <w:szCs w:val="32"/>
          <w:lang w:val="en-US" w:eastAsia="zh-CN" w:bidi="ar-SA"/>
        </w:rPr>
        <w:t>2019年农村改厕目标：完成郊区6个村（居）改厕工作；</w:t>
      </w:r>
    </w:p>
    <w:p w14:paraId="4C00BFB1">
      <w:pPr>
        <w:keepNext w:val="0"/>
        <w:keepLines w:val="0"/>
        <w:pageBreakBefore w:val="0"/>
        <w:widowControl w:val="0"/>
        <w:kinsoku/>
        <w:wordWrap/>
        <w:overflowPunct/>
        <w:topLinePunct w:val="0"/>
        <w:autoSpaceDE/>
        <w:autoSpaceDN/>
        <w:bidi w:val="0"/>
        <w:adjustRightInd/>
        <w:snapToGrid/>
        <w:spacing w:line="590" w:lineRule="exact"/>
        <w:ind w:firstLine="645"/>
        <w:textAlignment w:val="auto"/>
        <w:rPr>
          <w:rFonts w:hint="eastAsia" w:ascii="Times New Roman" w:hAnsi="Times New Roman" w:eastAsia="方正仿宋_GBK" w:cs="Times New Roman"/>
          <w:b w:val="0"/>
          <w:bCs/>
          <w:sz w:val="32"/>
          <w:szCs w:val="32"/>
          <w:lang w:val="en-US" w:eastAsia="zh-CN" w:bidi="ar-SA"/>
        </w:rPr>
      </w:pPr>
      <w:r>
        <w:rPr>
          <w:rFonts w:ascii="Times New Roman" w:hAnsi="Times New Roman" w:eastAsia="方正仿宋_GBK" w:cs="Times New Roman"/>
          <w:b w:val="0"/>
          <w:bCs/>
          <w:sz w:val="32"/>
          <w:szCs w:val="32"/>
          <w:lang w:val="en-US" w:eastAsia="zh-CN" w:bidi="ar-SA"/>
        </w:rPr>
        <w:t>4</w:t>
      </w:r>
      <w:r>
        <w:rPr>
          <w:rFonts w:hint="eastAsia" w:ascii="Times New Roman" w:hAnsi="Times New Roman" w:eastAsia="方正仿宋_GBK" w:cs="Times New Roman"/>
          <w:b w:val="0"/>
          <w:bCs/>
          <w:sz w:val="32"/>
          <w:szCs w:val="32"/>
          <w:lang w:val="en-US" w:eastAsia="zh-CN" w:bidi="ar-SA"/>
        </w:rPr>
        <w:t xml:space="preserve">. </w:t>
      </w:r>
      <w:r>
        <w:rPr>
          <w:rFonts w:ascii="Times New Roman" w:hAnsi="Times New Roman" w:eastAsia="方正仿宋_GBK" w:cs="Times New Roman"/>
          <w:b w:val="0"/>
          <w:bCs/>
          <w:sz w:val="32"/>
          <w:szCs w:val="32"/>
          <w:lang w:val="en-US" w:eastAsia="zh-CN" w:bidi="ar-SA"/>
        </w:rPr>
        <w:t>2020年农村改厕目标：完成郊区7个村（居）改厕工作。</w:t>
      </w:r>
    </w:p>
    <w:p w14:paraId="3CA378BD">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二、主要任务</w:t>
      </w:r>
    </w:p>
    <w:p w14:paraId="0D6F775D">
      <w:pPr>
        <w:keepNext w:val="0"/>
        <w:keepLines w:val="0"/>
        <w:pageBreakBefore w:val="0"/>
        <w:widowControl w:val="0"/>
        <w:kinsoku/>
        <w:wordWrap/>
        <w:overflowPunct/>
        <w:topLinePunct w:val="0"/>
        <w:autoSpaceDE/>
        <w:autoSpaceDN/>
        <w:bidi w:val="0"/>
        <w:adjustRightInd/>
        <w:snapToGrid/>
        <w:spacing w:line="590" w:lineRule="exact"/>
        <w:ind w:firstLine="643"/>
        <w:textAlignment w:val="auto"/>
        <w:rPr>
          <w:rFonts w:ascii="Times New Roman" w:hAnsi="Times New Roman" w:eastAsia="方正仿宋_GBK" w:cs="Times New Roman"/>
          <w:b/>
          <w:bCs w:val="0"/>
          <w:sz w:val="32"/>
          <w:szCs w:val="32"/>
          <w:lang w:val="en-US" w:eastAsia="zh-CN" w:bidi="ar-SA"/>
        </w:rPr>
      </w:pPr>
      <w:r>
        <w:rPr>
          <w:rFonts w:ascii="Times New Roman" w:hAnsi="Times New Roman" w:eastAsia="方正仿宋_GBK" w:cs="Times New Roman"/>
          <w:b/>
          <w:bCs w:val="0"/>
          <w:sz w:val="32"/>
          <w:szCs w:val="32"/>
          <w:lang w:val="en-US" w:eastAsia="zh-CN" w:bidi="ar-SA"/>
        </w:rPr>
        <w:t>1.</w:t>
      </w:r>
      <w:r>
        <w:rPr>
          <w:rFonts w:hint="eastAsia" w:ascii="Times New Roman" w:hAnsi="Times New Roman" w:eastAsia="方正仿宋_GBK" w:cs="Times New Roman"/>
          <w:b/>
          <w:bCs w:val="0"/>
          <w:sz w:val="32"/>
          <w:szCs w:val="32"/>
          <w:lang w:val="en-US" w:eastAsia="zh-CN" w:bidi="ar-SA"/>
        </w:rPr>
        <w:t xml:space="preserve"> </w:t>
      </w:r>
      <w:r>
        <w:rPr>
          <w:rFonts w:ascii="Times New Roman" w:hAnsi="Times New Roman" w:eastAsia="方正仿宋_GBK" w:cs="Times New Roman"/>
          <w:b/>
          <w:bCs w:val="0"/>
          <w:sz w:val="32"/>
          <w:szCs w:val="32"/>
          <w:lang w:val="en-US" w:eastAsia="zh-CN" w:bidi="ar-SA"/>
        </w:rPr>
        <w:t>全面摸清改厕底数。</w:t>
      </w:r>
    </w:p>
    <w:p w14:paraId="798D9F0E">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ascii="Times New Roman" w:hAnsi="Times New Roman" w:eastAsia="方正仿宋_GBK" w:cs="Times New Roman"/>
          <w:b w:val="0"/>
          <w:bCs/>
          <w:sz w:val="32"/>
          <w:szCs w:val="32"/>
          <w:lang w:val="en-US" w:eastAsia="zh-CN" w:bidi="ar-SA"/>
        </w:rPr>
      </w:pPr>
      <w:r>
        <w:rPr>
          <w:rFonts w:ascii="Times New Roman" w:hAnsi="Times New Roman" w:eastAsia="方正仿宋_GBK" w:cs="Times New Roman"/>
          <w:b w:val="0"/>
          <w:bCs/>
          <w:sz w:val="32"/>
          <w:szCs w:val="32"/>
          <w:lang w:val="en-US" w:eastAsia="zh-CN" w:bidi="ar-SA"/>
        </w:rPr>
        <w:t>各乡镇办迅速开展农村户用厕所使用情况调查摸底，对全区除美丽乡村中心村及近年有拆迁计划外的所有自然村实施逐地逐户调查摸底，全面摸清全区农村厕所改造底数。经统计全区共有旱厕2436户、卫生厕所户数8794户。</w:t>
      </w:r>
    </w:p>
    <w:p w14:paraId="1B131E23">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ascii="Times New Roman" w:hAnsi="Times New Roman" w:eastAsia="方正仿宋_GBK" w:cs="Times New Roman"/>
          <w:b/>
          <w:bCs w:val="0"/>
          <w:sz w:val="32"/>
          <w:szCs w:val="32"/>
          <w:lang w:val="en-US" w:eastAsia="zh-CN" w:bidi="ar-SA"/>
        </w:rPr>
      </w:pPr>
      <w:r>
        <w:rPr>
          <w:rFonts w:ascii="Times New Roman" w:hAnsi="Times New Roman" w:eastAsia="方正仿宋_GBK" w:cs="Times New Roman"/>
          <w:b w:val="0"/>
          <w:bCs/>
          <w:sz w:val="32"/>
          <w:szCs w:val="32"/>
          <w:lang w:val="en-US" w:eastAsia="zh-CN" w:bidi="ar-SA"/>
        </w:rPr>
        <w:t>2</w:t>
      </w:r>
      <w:r>
        <w:rPr>
          <w:rFonts w:hint="eastAsia" w:ascii="Times New Roman" w:hAnsi="Times New Roman" w:eastAsia="方正仿宋_GBK" w:cs="Times New Roman"/>
          <w:b w:val="0"/>
          <w:bCs/>
          <w:sz w:val="32"/>
          <w:szCs w:val="32"/>
          <w:lang w:val="en-US" w:eastAsia="zh-CN" w:bidi="ar-SA"/>
        </w:rPr>
        <w:t xml:space="preserve">. </w:t>
      </w:r>
      <w:r>
        <w:rPr>
          <w:rFonts w:ascii="Times New Roman" w:hAnsi="Times New Roman" w:eastAsia="方正仿宋_GBK" w:cs="Times New Roman"/>
          <w:b/>
          <w:bCs w:val="0"/>
          <w:sz w:val="32"/>
          <w:szCs w:val="32"/>
          <w:lang w:val="en-US" w:eastAsia="zh-CN" w:bidi="ar-SA"/>
        </w:rPr>
        <w:t>科学制定改厕计划。</w:t>
      </w:r>
    </w:p>
    <w:p w14:paraId="2FF6986B">
      <w:pPr>
        <w:keepNext w:val="0"/>
        <w:keepLines w:val="0"/>
        <w:pageBreakBefore w:val="0"/>
        <w:widowControl w:val="0"/>
        <w:kinsoku/>
        <w:wordWrap/>
        <w:overflowPunct/>
        <w:topLinePunct w:val="0"/>
        <w:autoSpaceDE/>
        <w:autoSpaceDN/>
        <w:bidi w:val="0"/>
        <w:adjustRightInd/>
        <w:snapToGrid/>
        <w:spacing w:line="590" w:lineRule="exact"/>
        <w:ind w:firstLine="579"/>
        <w:textAlignment w:val="auto"/>
        <w:rPr>
          <w:rFonts w:hint="eastAsia" w:ascii="Times New Roman" w:hAnsi="Times New Roman" w:eastAsia="方正仿宋_GBK" w:cs="Times New Roman"/>
          <w:b w:val="0"/>
          <w:bCs/>
          <w:sz w:val="32"/>
          <w:szCs w:val="32"/>
          <w:lang w:val="en-US" w:eastAsia="zh-CN" w:bidi="ar-SA"/>
        </w:rPr>
      </w:pPr>
      <w:r>
        <w:rPr>
          <w:rFonts w:ascii="Times New Roman" w:hAnsi="Times New Roman" w:eastAsia="方正仿宋_GBK" w:cs="Times New Roman"/>
          <w:b w:val="0"/>
          <w:bCs/>
          <w:sz w:val="32"/>
          <w:szCs w:val="32"/>
          <w:lang w:val="en-US" w:eastAsia="zh-CN" w:bidi="ar-SA"/>
        </w:rPr>
        <w:t>区市容局根据市市容局总体部署，结合自身实际，制定郊区农村卫生厕所改造方案，明确2017-2020各乡镇、办的改厕任务和时间安排：2017年完成已建成的郊区美丽乡村省级示范村大通镇金华村郎村和安铜办牧岭村三房村改厕工作；2018年改造6个基础条件较好的村（居），共1114户；2019年改造6个村（居），共707户；2020年改造7个（村，共615户。对饮用水源地保护区内村庄优先安排。并根据地形地貌、生态环境要求，因地制宜确定改厕模式。</w:t>
      </w:r>
    </w:p>
    <w:p w14:paraId="67DC45F5">
      <w:pPr>
        <w:keepNext w:val="0"/>
        <w:keepLines w:val="0"/>
        <w:pageBreakBefore w:val="0"/>
        <w:widowControl w:val="0"/>
        <w:kinsoku/>
        <w:wordWrap/>
        <w:overflowPunct/>
        <w:topLinePunct w:val="0"/>
        <w:autoSpaceDE/>
        <w:autoSpaceDN/>
        <w:bidi w:val="0"/>
        <w:adjustRightInd/>
        <w:snapToGrid/>
        <w:spacing w:line="590" w:lineRule="exact"/>
        <w:ind w:firstLine="643"/>
        <w:textAlignment w:val="auto"/>
        <w:rPr>
          <w:rFonts w:ascii="Times New Roman" w:hAnsi="Times New Roman" w:eastAsia="方正仿宋_GBK" w:cs="Times New Roman"/>
          <w:b/>
          <w:bCs w:val="0"/>
          <w:sz w:val="32"/>
          <w:szCs w:val="32"/>
          <w:lang w:val="en-US" w:eastAsia="zh-CN" w:bidi="ar-SA"/>
        </w:rPr>
      </w:pPr>
      <w:r>
        <w:rPr>
          <w:rFonts w:ascii="Times New Roman" w:hAnsi="Times New Roman" w:eastAsia="方正仿宋_GBK" w:cs="Times New Roman"/>
          <w:b/>
          <w:bCs w:val="0"/>
          <w:sz w:val="32"/>
          <w:szCs w:val="32"/>
          <w:lang w:val="en-US" w:eastAsia="zh-CN" w:bidi="ar-SA"/>
        </w:rPr>
        <w:t>3</w:t>
      </w:r>
      <w:r>
        <w:rPr>
          <w:rFonts w:hint="eastAsia" w:ascii="Times New Roman" w:hAnsi="Times New Roman" w:eastAsia="方正仿宋_GBK" w:cs="Times New Roman"/>
          <w:b/>
          <w:bCs w:val="0"/>
          <w:sz w:val="32"/>
          <w:szCs w:val="32"/>
          <w:lang w:val="en-US" w:eastAsia="zh-CN" w:bidi="ar-SA"/>
        </w:rPr>
        <w:t xml:space="preserve">. </w:t>
      </w:r>
      <w:r>
        <w:rPr>
          <w:rFonts w:ascii="Times New Roman" w:hAnsi="Times New Roman" w:eastAsia="方正仿宋_GBK" w:cs="Times New Roman"/>
          <w:b/>
          <w:bCs w:val="0"/>
          <w:sz w:val="32"/>
          <w:szCs w:val="32"/>
          <w:lang w:val="en-US" w:eastAsia="zh-CN" w:bidi="ar-SA"/>
        </w:rPr>
        <w:t>合理选择改厕模式。</w:t>
      </w:r>
    </w:p>
    <w:p w14:paraId="15B34B74">
      <w:pPr>
        <w:keepNext w:val="0"/>
        <w:keepLines w:val="0"/>
        <w:pageBreakBefore w:val="0"/>
        <w:widowControl w:val="0"/>
        <w:kinsoku/>
        <w:wordWrap/>
        <w:overflowPunct/>
        <w:topLinePunct w:val="0"/>
        <w:autoSpaceDE/>
        <w:autoSpaceDN/>
        <w:bidi w:val="0"/>
        <w:adjustRightInd/>
        <w:snapToGrid/>
        <w:spacing w:line="590" w:lineRule="exact"/>
        <w:ind w:firstLine="420"/>
        <w:textAlignment w:val="auto"/>
        <w:rPr>
          <w:rFonts w:ascii="Times New Roman" w:hAnsi="Times New Roman" w:eastAsia="方正仿宋_GBK" w:cs="Times New Roman"/>
          <w:b w:val="0"/>
          <w:bCs/>
          <w:sz w:val="32"/>
          <w:szCs w:val="32"/>
          <w:lang w:val="en-US" w:eastAsia="zh-CN" w:bidi="ar-SA"/>
        </w:rPr>
      </w:pPr>
      <w:r>
        <w:rPr>
          <w:rFonts w:ascii="Times New Roman" w:hAnsi="Times New Roman" w:eastAsia="方正仿宋_GBK" w:cs="Times New Roman"/>
          <w:b w:val="0"/>
          <w:bCs/>
          <w:sz w:val="32"/>
          <w:szCs w:val="32"/>
          <w:lang w:val="en-US" w:eastAsia="zh-CN" w:bidi="ar-SA"/>
        </w:rPr>
        <w:t>根据地形地貌、生态环境要求，因地制宜确定改厕模式。加强农村污水处理设施对接，在重点饮用水源地保护区内的自然村，全面采用水冲式厕所，并集中收集处置、达标排放；在城镇污水管道覆盖到的村庄和农村新型社区，推广使用水冲式厕所；在其他自然村，推广使用稳定的装配式三格化粪池等卫生厕所。</w:t>
      </w:r>
    </w:p>
    <w:p w14:paraId="2A9EABB5">
      <w:pPr>
        <w:keepNext w:val="0"/>
        <w:keepLines w:val="0"/>
        <w:pageBreakBefore w:val="0"/>
        <w:widowControl w:val="0"/>
        <w:kinsoku/>
        <w:wordWrap/>
        <w:overflowPunct/>
        <w:topLinePunct w:val="0"/>
        <w:autoSpaceDE/>
        <w:autoSpaceDN/>
        <w:bidi w:val="0"/>
        <w:adjustRightInd/>
        <w:snapToGrid/>
        <w:spacing w:line="590" w:lineRule="exact"/>
        <w:ind w:firstLine="645"/>
        <w:textAlignment w:val="auto"/>
        <w:rPr>
          <w:rFonts w:ascii="Times New Roman" w:hAnsi="Times New Roman" w:eastAsia="方正仿宋_GBK" w:cs="Times New Roman"/>
          <w:b w:val="0"/>
          <w:bCs/>
          <w:sz w:val="32"/>
          <w:szCs w:val="32"/>
          <w:lang w:val="en-US" w:eastAsia="zh-CN" w:bidi="ar-SA"/>
        </w:rPr>
      </w:pPr>
      <w:r>
        <w:rPr>
          <w:rFonts w:ascii="Times New Roman" w:hAnsi="Times New Roman" w:eastAsia="方正仿宋_GBK" w:cs="Times New Roman"/>
          <w:b/>
          <w:bCs w:val="0"/>
          <w:sz w:val="32"/>
          <w:szCs w:val="32"/>
          <w:lang w:val="en-US" w:eastAsia="zh-CN" w:bidi="ar-SA"/>
        </w:rPr>
        <w:t>4</w:t>
      </w:r>
      <w:r>
        <w:rPr>
          <w:rFonts w:hint="eastAsia" w:ascii="Times New Roman" w:hAnsi="Times New Roman" w:eastAsia="方正仿宋_GBK" w:cs="Times New Roman"/>
          <w:b/>
          <w:bCs w:val="0"/>
          <w:sz w:val="32"/>
          <w:szCs w:val="32"/>
          <w:lang w:val="en-US" w:eastAsia="zh-CN" w:bidi="ar-SA"/>
        </w:rPr>
        <w:t xml:space="preserve">. </w:t>
      </w:r>
      <w:r>
        <w:rPr>
          <w:rFonts w:ascii="Times New Roman" w:hAnsi="Times New Roman" w:eastAsia="方正仿宋_GBK" w:cs="Times New Roman"/>
          <w:b/>
          <w:bCs w:val="0"/>
          <w:sz w:val="32"/>
          <w:szCs w:val="32"/>
          <w:lang w:val="en-US" w:eastAsia="zh-CN" w:bidi="ar-SA"/>
        </w:rPr>
        <w:t>强化项目实施管理。</w:t>
      </w:r>
      <w:r>
        <w:rPr>
          <w:rFonts w:ascii="Times New Roman" w:hAnsi="Times New Roman" w:eastAsia="方正仿宋_GBK" w:cs="Times New Roman"/>
          <w:b w:val="0"/>
          <w:bCs/>
          <w:sz w:val="32"/>
          <w:szCs w:val="32"/>
          <w:lang w:val="en-US" w:eastAsia="zh-CN" w:bidi="ar-SA"/>
        </w:rPr>
        <w:t>按照“统一采购、统一施工、统一验收”原则，我局成立农村改厕督查考核小组，加强对农村改厕工作的监督考核，要求乡镇负责对厕具、施工等进行公开招标采购，并以村为单位组织施工，做好工程质量监督、检查与验收工作。各单位要按照市场化运作模式，鼓励企业或个人出资进行改厕后检查维修、定期收运、粪渣资源利用等后续工作，形成管收用并重、责权利一致的长效管理机制。</w:t>
      </w:r>
    </w:p>
    <w:p w14:paraId="0EE10929">
      <w:pPr>
        <w:keepNext w:val="0"/>
        <w:keepLines w:val="0"/>
        <w:pageBreakBefore w:val="0"/>
        <w:widowControl w:val="0"/>
        <w:kinsoku/>
        <w:wordWrap/>
        <w:overflowPunct/>
        <w:topLinePunct w:val="0"/>
        <w:autoSpaceDE/>
        <w:autoSpaceDN/>
        <w:bidi w:val="0"/>
        <w:adjustRightInd/>
        <w:snapToGrid/>
        <w:spacing w:line="590" w:lineRule="exact"/>
        <w:ind w:firstLine="64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三、保障措施</w:t>
      </w:r>
    </w:p>
    <w:p w14:paraId="2A4A5FAE">
      <w:pPr>
        <w:keepNext w:val="0"/>
        <w:keepLines w:val="0"/>
        <w:pageBreakBefore w:val="0"/>
        <w:widowControl w:val="0"/>
        <w:kinsoku/>
        <w:wordWrap/>
        <w:overflowPunct/>
        <w:topLinePunct w:val="0"/>
        <w:autoSpaceDE/>
        <w:autoSpaceDN/>
        <w:bidi w:val="0"/>
        <w:adjustRightInd/>
        <w:snapToGrid/>
        <w:spacing w:line="590" w:lineRule="exact"/>
        <w:ind w:firstLine="645"/>
        <w:textAlignment w:val="auto"/>
        <w:rPr>
          <w:rFonts w:ascii="Times New Roman" w:hAnsi="Times New Roman" w:eastAsia="方正仿宋_GBK" w:cs="Times New Roman"/>
          <w:b w:val="0"/>
          <w:bCs/>
          <w:sz w:val="32"/>
          <w:szCs w:val="32"/>
          <w:lang w:val="en-US" w:eastAsia="zh-CN" w:bidi="ar-SA"/>
        </w:rPr>
      </w:pPr>
      <w:r>
        <w:rPr>
          <w:rFonts w:ascii="Times New Roman" w:hAnsi="Times New Roman" w:eastAsia="方正仿宋_GBK" w:cs="Times New Roman"/>
          <w:b/>
          <w:bCs w:val="0"/>
          <w:sz w:val="32"/>
          <w:szCs w:val="32"/>
          <w:lang w:val="en-US" w:eastAsia="zh-CN" w:bidi="ar-SA"/>
        </w:rPr>
        <w:t>1</w:t>
      </w:r>
      <w:r>
        <w:rPr>
          <w:rFonts w:hint="eastAsia" w:ascii="Times New Roman" w:hAnsi="Times New Roman" w:eastAsia="方正仿宋_GBK" w:cs="Times New Roman"/>
          <w:b/>
          <w:bCs w:val="0"/>
          <w:sz w:val="32"/>
          <w:szCs w:val="32"/>
          <w:lang w:val="en-US" w:eastAsia="zh-CN" w:bidi="ar-SA"/>
        </w:rPr>
        <w:t xml:space="preserve">. </w:t>
      </w:r>
      <w:r>
        <w:rPr>
          <w:rFonts w:ascii="Times New Roman" w:hAnsi="Times New Roman" w:eastAsia="方正仿宋_GBK" w:cs="Times New Roman"/>
          <w:b/>
          <w:bCs w:val="0"/>
          <w:sz w:val="32"/>
          <w:szCs w:val="32"/>
          <w:lang w:val="en-US" w:eastAsia="zh-CN" w:bidi="ar-SA"/>
        </w:rPr>
        <w:t>加强组织领导。</w:t>
      </w:r>
      <w:r>
        <w:rPr>
          <w:rFonts w:ascii="Times New Roman" w:hAnsi="Times New Roman" w:eastAsia="方正仿宋_GBK" w:cs="Times New Roman"/>
          <w:b w:val="0"/>
          <w:bCs/>
          <w:sz w:val="32"/>
          <w:szCs w:val="32"/>
          <w:lang w:val="en-US" w:eastAsia="zh-CN" w:bidi="ar-SA"/>
        </w:rPr>
        <w:t>由区分管副区长负责，区市容局牵头，区住建局、区美丽办配合，成立郊区农村厕所改造工作领导小组，俞茂进任组长，吴高明任副组长，成员：胡志力及各乡镇办分管领导。</w:t>
      </w:r>
    </w:p>
    <w:p w14:paraId="634D28A9">
      <w:pPr>
        <w:keepNext w:val="0"/>
        <w:keepLines w:val="0"/>
        <w:pageBreakBefore w:val="0"/>
        <w:widowControl w:val="0"/>
        <w:kinsoku/>
        <w:wordWrap/>
        <w:overflowPunct/>
        <w:topLinePunct w:val="0"/>
        <w:autoSpaceDE/>
        <w:autoSpaceDN/>
        <w:bidi w:val="0"/>
        <w:adjustRightInd/>
        <w:snapToGrid/>
        <w:spacing w:line="590" w:lineRule="exact"/>
        <w:ind w:firstLine="645"/>
        <w:textAlignment w:val="auto"/>
        <w:rPr>
          <w:rFonts w:ascii="Times New Roman" w:hAnsi="Times New Roman" w:eastAsia="方正仿宋_GBK" w:cs="Times New Roman"/>
          <w:b w:val="0"/>
          <w:bCs/>
          <w:sz w:val="32"/>
          <w:szCs w:val="32"/>
          <w:lang w:val="en-US" w:eastAsia="zh-CN" w:bidi="ar-SA"/>
        </w:rPr>
      </w:pPr>
      <w:r>
        <w:rPr>
          <w:rFonts w:ascii="Times New Roman" w:hAnsi="Times New Roman" w:eastAsia="方正仿宋_GBK" w:cs="Times New Roman"/>
          <w:b/>
          <w:bCs w:val="0"/>
          <w:sz w:val="32"/>
          <w:szCs w:val="32"/>
          <w:lang w:val="en-US" w:eastAsia="zh-CN" w:bidi="ar-SA"/>
        </w:rPr>
        <w:t>2</w:t>
      </w:r>
      <w:r>
        <w:rPr>
          <w:rFonts w:hint="eastAsia" w:ascii="Times New Roman" w:hAnsi="Times New Roman" w:eastAsia="方正仿宋_GBK" w:cs="Times New Roman"/>
          <w:b/>
          <w:bCs w:val="0"/>
          <w:sz w:val="32"/>
          <w:szCs w:val="32"/>
          <w:lang w:val="en-US" w:eastAsia="zh-CN" w:bidi="ar-SA"/>
        </w:rPr>
        <w:t xml:space="preserve">. </w:t>
      </w:r>
      <w:r>
        <w:rPr>
          <w:rFonts w:ascii="Times New Roman" w:hAnsi="Times New Roman" w:eastAsia="方正仿宋_GBK" w:cs="Times New Roman"/>
          <w:b/>
          <w:bCs w:val="0"/>
          <w:sz w:val="32"/>
          <w:szCs w:val="32"/>
          <w:lang w:val="en-US" w:eastAsia="zh-CN" w:bidi="ar-SA"/>
        </w:rPr>
        <w:t>强化监督检查。</w:t>
      </w:r>
      <w:r>
        <w:rPr>
          <w:rFonts w:ascii="Times New Roman" w:hAnsi="Times New Roman" w:eastAsia="方正仿宋_GBK" w:cs="Times New Roman"/>
          <w:b w:val="0"/>
          <w:bCs/>
          <w:sz w:val="32"/>
          <w:szCs w:val="32"/>
          <w:lang w:val="en-US" w:eastAsia="zh-CN" w:bidi="ar-SA"/>
        </w:rPr>
        <w:t>区市容局成立郊区农村厕所改造工作督查考核小组，制定督查考核制度，按照省有关要求组织考核验收，及时通报有关情况，建立完善激励机制。加强考核结果使用，将考核结果作为市级补助资金的拨付依据。对因工作推进不力、工程质量不符合要求、资金管理不善等造成不良后果的，要依法依规追究有关责任人的责任。</w:t>
      </w:r>
    </w:p>
    <w:p w14:paraId="5EB1D83F">
      <w:pPr>
        <w:keepNext w:val="0"/>
        <w:keepLines w:val="0"/>
        <w:pageBreakBefore w:val="0"/>
        <w:widowControl w:val="0"/>
        <w:kinsoku/>
        <w:wordWrap/>
        <w:overflowPunct/>
        <w:topLinePunct w:val="0"/>
        <w:autoSpaceDE/>
        <w:autoSpaceDN/>
        <w:bidi w:val="0"/>
        <w:adjustRightInd/>
        <w:snapToGrid/>
        <w:spacing w:line="590" w:lineRule="exact"/>
        <w:ind w:firstLine="645"/>
        <w:textAlignment w:val="auto"/>
        <w:rPr>
          <w:rFonts w:ascii="Times New Roman" w:hAnsi="Times New Roman" w:eastAsia="方正仿宋_GBK" w:cs="Times New Roman"/>
          <w:b w:val="0"/>
          <w:bCs/>
          <w:sz w:val="32"/>
          <w:szCs w:val="32"/>
          <w:lang w:val="en-US" w:eastAsia="zh-CN" w:bidi="ar-SA"/>
        </w:rPr>
      </w:pPr>
      <w:r>
        <w:rPr>
          <w:rFonts w:ascii="Times New Roman" w:hAnsi="Times New Roman" w:eastAsia="方正仿宋_GBK" w:cs="Times New Roman"/>
          <w:b/>
          <w:bCs w:val="0"/>
          <w:sz w:val="32"/>
          <w:szCs w:val="32"/>
          <w:lang w:val="en-US" w:eastAsia="zh-CN" w:bidi="ar-SA"/>
        </w:rPr>
        <w:t>3</w:t>
      </w:r>
      <w:r>
        <w:rPr>
          <w:rFonts w:hint="eastAsia" w:ascii="Times New Roman" w:hAnsi="Times New Roman" w:eastAsia="方正仿宋_GBK" w:cs="Times New Roman"/>
          <w:b/>
          <w:bCs w:val="0"/>
          <w:sz w:val="32"/>
          <w:szCs w:val="32"/>
          <w:lang w:val="en-US" w:eastAsia="zh-CN" w:bidi="ar-SA"/>
        </w:rPr>
        <w:t xml:space="preserve">. </w:t>
      </w:r>
      <w:r>
        <w:rPr>
          <w:rFonts w:ascii="Times New Roman" w:hAnsi="Times New Roman" w:eastAsia="方正仿宋_GBK" w:cs="Times New Roman"/>
          <w:b/>
          <w:bCs w:val="0"/>
          <w:sz w:val="32"/>
          <w:szCs w:val="32"/>
          <w:lang w:val="en-US" w:eastAsia="zh-CN" w:bidi="ar-SA"/>
        </w:rPr>
        <w:t>落实资金保障。</w:t>
      </w:r>
      <w:r>
        <w:rPr>
          <w:rFonts w:ascii="Times New Roman" w:hAnsi="Times New Roman" w:eastAsia="方正仿宋_GBK" w:cs="Times New Roman"/>
          <w:b w:val="0"/>
          <w:bCs/>
          <w:sz w:val="32"/>
          <w:szCs w:val="32"/>
          <w:lang w:val="en-US" w:eastAsia="zh-CN" w:bidi="ar-SA"/>
        </w:rPr>
        <w:t>按照政府主导、多方筹措的原则，保障各项资金落实到位。有条件地方要探索建立村集体补贴、财政奖补相结合的机制，鼓励社会帮扶、捐资捐赠开展农村卫生改厕工作，并将农村卫生改厕工作经费纳入财政预算，按照不低于0.2万元/户的标准对农户改厕进行补助。资金来源：根据省政府要求，农村改厕工作不增加群众负担，省财政安排专项资金，按100元/户标准进行补助。农村改厕建设资金在扣除省财政补助后，由市、区两级按照市、区1</w:t>
      </w:r>
      <w:r>
        <w:rPr>
          <w:rFonts w:hint="eastAsia" w:ascii="Times New Roman" w:hAnsi="Times New Roman" w:eastAsia="方正仿宋_GBK" w:cs="Times New Roman"/>
          <w:b w:val="0"/>
          <w:bCs/>
          <w:sz w:val="32"/>
          <w:szCs w:val="32"/>
          <w:lang w:val="en-US" w:eastAsia="zh-CN" w:bidi="ar-SA"/>
        </w:rPr>
        <w:t>:</w:t>
      </w:r>
      <w:r>
        <w:rPr>
          <w:rFonts w:ascii="Times New Roman" w:hAnsi="Times New Roman" w:eastAsia="方正仿宋_GBK" w:cs="Times New Roman"/>
          <w:b w:val="0"/>
          <w:bCs/>
          <w:sz w:val="32"/>
          <w:szCs w:val="32"/>
          <w:lang w:val="en-US" w:eastAsia="zh-CN" w:bidi="ar-SA"/>
        </w:rPr>
        <w:t>2比例承担，资金配备不足部份由乡镇办配套，运行管护费由区承担。另美丽乡村省级中心村改厕工作资金由美丽乡村建设资金分配，区财政不承担。</w:t>
      </w:r>
    </w:p>
    <w:p w14:paraId="155BDBFC">
      <w:pPr>
        <w:keepNext w:val="0"/>
        <w:keepLines w:val="0"/>
        <w:pageBreakBefore w:val="0"/>
        <w:widowControl w:val="0"/>
        <w:kinsoku/>
        <w:wordWrap/>
        <w:overflowPunct/>
        <w:topLinePunct w:val="0"/>
        <w:autoSpaceDE/>
        <w:autoSpaceDN/>
        <w:bidi w:val="0"/>
        <w:adjustRightInd/>
        <w:snapToGrid/>
        <w:spacing w:line="590" w:lineRule="exact"/>
        <w:ind w:firstLine="645"/>
        <w:textAlignment w:val="auto"/>
        <w:rPr>
          <w:rFonts w:hint="eastAsia" w:ascii="Times New Roman" w:hAnsi="Times New Roman" w:eastAsia="方正仿宋_GBK" w:cs="Times New Roman"/>
          <w:b w:val="0"/>
          <w:bCs/>
          <w:sz w:val="32"/>
          <w:szCs w:val="32"/>
          <w:lang w:val="en-US" w:eastAsia="zh-CN" w:bidi="ar-SA"/>
        </w:rPr>
      </w:pPr>
      <w:r>
        <w:rPr>
          <w:rFonts w:ascii="Times New Roman" w:hAnsi="Times New Roman" w:eastAsia="方正仿宋_GBK" w:cs="Times New Roman"/>
          <w:b/>
          <w:bCs w:val="0"/>
          <w:sz w:val="32"/>
          <w:szCs w:val="32"/>
          <w:lang w:val="en-US" w:eastAsia="zh-CN" w:bidi="ar-SA"/>
        </w:rPr>
        <w:t>4</w:t>
      </w:r>
      <w:r>
        <w:rPr>
          <w:rFonts w:hint="eastAsia" w:ascii="Times New Roman" w:hAnsi="Times New Roman" w:eastAsia="方正仿宋_GBK" w:cs="Times New Roman"/>
          <w:b/>
          <w:bCs w:val="0"/>
          <w:sz w:val="32"/>
          <w:szCs w:val="32"/>
          <w:lang w:val="en-US" w:eastAsia="zh-CN" w:bidi="ar-SA"/>
        </w:rPr>
        <w:t xml:space="preserve">. </w:t>
      </w:r>
      <w:r>
        <w:rPr>
          <w:rFonts w:ascii="Times New Roman" w:hAnsi="Times New Roman" w:eastAsia="方正仿宋_GBK" w:cs="Times New Roman"/>
          <w:b/>
          <w:bCs w:val="0"/>
          <w:sz w:val="32"/>
          <w:szCs w:val="32"/>
          <w:lang w:val="en-US" w:eastAsia="zh-CN" w:bidi="ar-SA"/>
        </w:rPr>
        <w:t>营造良好氛围。</w:t>
      </w:r>
      <w:r>
        <w:rPr>
          <w:rFonts w:ascii="Times New Roman" w:hAnsi="Times New Roman" w:eastAsia="方正仿宋_GBK" w:cs="Times New Roman"/>
          <w:b w:val="0"/>
          <w:bCs/>
          <w:sz w:val="32"/>
          <w:szCs w:val="32"/>
          <w:lang w:val="en-US" w:eastAsia="zh-CN" w:bidi="ar-SA"/>
        </w:rPr>
        <w:t>各单位要充分利用报纸、广播、电视、网络等媒体大力宣传农村改厕工作的政策措施和重要意义，及时报道改厕工作新进展和典型经验，有效发挥舆论监督作用。要采取多种途径引导社会各界支持、参与农村改厕工作，激发广大干部群众的积极性、创造性，在全社会营造农村改厕工作良好氛围。</w:t>
      </w:r>
    </w:p>
    <w:p w14:paraId="2B5A79A4">
      <w:pPr>
        <w:keepNext w:val="0"/>
        <w:keepLines w:val="0"/>
        <w:pageBreakBefore w:val="0"/>
        <w:widowControl w:val="0"/>
        <w:kinsoku/>
        <w:wordWrap/>
        <w:overflowPunct/>
        <w:topLinePunct w:val="0"/>
        <w:autoSpaceDE/>
        <w:autoSpaceDN/>
        <w:bidi w:val="0"/>
        <w:adjustRightInd/>
        <w:snapToGrid/>
        <w:spacing w:line="590" w:lineRule="exact"/>
        <w:ind w:firstLine="645"/>
        <w:textAlignment w:val="auto"/>
        <w:rPr>
          <w:rFonts w:hint="eastAsia" w:ascii="Times New Roman" w:hAnsi="Times New Roman" w:eastAsia="方正仿宋_GBK" w:cs="Times New Roman"/>
          <w:b w:val="0"/>
          <w:bCs/>
          <w:sz w:val="32"/>
          <w:szCs w:val="32"/>
          <w:lang w:val="en-US" w:eastAsia="zh-CN" w:bidi="ar-SA"/>
        </w:rPr>
      </w:pPr>
    </w:p>
    <w:p w14:paraId="7FC83F85">
      <w:pPr>
        <w:keepNext w:val="0"/>
        <w:keepLines w:val="0"/>
        <w:pageBreakBefore w:val="0"/>
        <w:widowControl w:val="0"/>
        <w:kinsoku/>
        <w:wordWrap/>
        <w:overflowPunct/>
        <w:topLinePunct w:val="0"/>
        <w:autoSpaceDE/>
        <w:autoSpaceDN/>
        <w:bidi w:val="0"/>
        <w:adjustRightInd/>
        <w:snapToGrid/>
        <w:spacing w:line="590" w:lineRule="exact"/>
        <w:ind w:firstLine="645"/>
        <w:textAlignment w:val="auto"/>
        <w:rPr>
          <w:rFonts w:ascii="Times New Roman" w:hAnsi="Times New Roman" w:eastAsia="方正仿宋_GBK" w:cs="Times New Roman"/>
          <w:b w:val="0"/>
          <w:bCs/>
          <w:sz w:val="32"/>
          <w:szCs w:val="32"/>
          <w:lang w:val="en-US" w:eastAsia="zh-CN" w:bidi="ar-SA"/>
        </w:rPr>
      </w:pPr>
      <w:r>
        <w:rPr>
          <w:rFonts w:ascii="Times New Roman" w:hAnsi="Times New Roman" w:eastAsia="方正仿宋_GBK" w:cs="Times New Roman"/>
          <w:b w:val="0"/>
          <w:bCs/>
          <w:sz w:val="32"/>
          <w:szCs w:val="32"/>
          <w:lang w:val="en-US" w:eastAsia="zh-CN" w:bidi="ar-SA"/>
        </w:rPr>
        <w:t>附件：农村改厕资金测算</w:t>
      </w:r>
    </w:p>
    <w:p w14:paraId="3567EA13">
      <w:pPr>
        <w:keepNext w:val="0"/>
        <w:keepLines w:val="0"/>
        <w:pageBreakBefore w:val="0"/>
        <w:widowControl w:val="0"/>
        <w:kinsoku/>
        <w:wordWrap/>
        <w:overflowPunct/>
        <w:topLinePunct w:val="0"/>
        <w:autoSpaceDE/>
        <w:autoSpaceDN/>
        <w:bidi w:val="0"/>
        <w:adjustRightInd/>
        <w:snapToGrid/>
        <w:spacing w:line="590" w:lineRule="exact"/>
        <w:ind w:firstLine="645"/>
        <w:textAlignment w:val="auto"/>
        <w:rPr>
          <w:rFonts w:hint="eastAsia" w:ascii="Times New Roman" w:hAnsi="Times New Roman" w:eastAsia="方正仿宋_GBK" w:cs="Times New Roman"/>
          <w:b w:val="0"/>
          <w:bCs/>
          <w:sz w:val="32"/>
          <w:szCs w:val="32"/>
          <w:lang w:val="en-US" w:eastAsia="zh-CN" w:bidi="ar-SA"/>
        </w:rPr>
        <w:sectPr>
          <w:headerReference r:id="rId3" w:type="default"/>
          <w:footerReference r:id="rId4" w:type="default"/>
          <w:pgSz w:w="11906" w:h="16838" w:orient="landscape"/>
          <w:pgMar w:top="2098" w:right="1531" w:bottom="1985" w:left="1531" w:header="1474" w:footer="1474" w:gutter="0"/>
          <w:pgBorders>
            <w:top w:val="single" w:color="015293" w:sz="18" w:space="1"/>
            <w:bottom w:val="single" w:color="015293" w:sz="18" w:space="1"/>
          </w:pgBorders>
          <w:cols w:space="1701" w:num="1"/>
        </w:sectPr>
      </w:pPr>
    </w:p>
    <w:p w14:paraId="41FE09F1">
      <w:pPr>
        <w:keepNext w:val="0"/>
        <w:keepLines w:val="0"/>
        <w:pageBreakBefore w:val="0"/>
        <w:kinsoku/>
        <w:wordWrap/>
        <w:overflowPunct/>
        <w:topLinePunct w:val="0"/>
        <w:autoSpaceDE/>
        <w:autoSpaceDN/>
        <w:bidi w:val="0"/>
        <w:adjustRightInd/>
        <w:snapToGrid/>
        <w:spacing w:line="590" w:lineRule="exact"/>
        <w:textAlignment w:val="auto"/>
        <w:rPr>
          <w:rFonts w:hint="eastAsia" w:ascii="黑体" w:hAnsi="黑体" w:eastAsia="黑体"/>
          <w:sz w:val="32"/>
          <w:szCs w:val="32"/>
        </w:rPr>
      </w:pPr>
      <w:r>
        <w:rPr>
          <w:rFonts w:hint="eastAsia" w:ascii="黑体" w:hAnsi="黑体" w:eastAsia="黑体"/>
          <w:sz w:val="32"/>
          <w:szCs w:val="32"/>
        </w:rPr>
        <w:t>附件</w:t>
      </w:r>
    </w:p>
    <w:p w14:paraId="6F658CDA">
      <w:pPr>
        <w:keepNext w:val="0"/>
        <w:keepLines w:val="0"/>
        <w:pageBreakBefore w:val="0"/>
        <w:kinsoku/>
        <w:wordWrap/>
        <w:overflowPunct/>
        <w:topLinePunct w:val="0"/>
        <w:autoSpaceDE/>
        <w:autoSpaceDN/>
        <w:bidi w:val="0"/>
        <w:adjustRightInd/>
        <w:snapToGrid/>
        <w:spacing w:after="156" w:line="590" w:lineRule="exact"/>
        <w:jc w:val="center"/>
        <w:textAlignment w:val="auto"/>
        <w:rPr>
          <w:rFonts w:hint="eastAsia" w:ascii="方正小标宋简体" w:eastAsia="方正小标宋简体"/>
          <w:sz w:val="44"/>
          <w:szCs w:val="44"/>
        </w:rPr>
      </w:pPr>
      <w:r>
        <w:rPr>
          <w:rFonts w:hint="eastAsia" w:ascii="方正小标宋简体" w:eastAsia="方正小标宋简体"/>
          <w:sz w:val="44"/>
          <w:szCs w:val="44"/>
        </w:rPr>
        <w:t>郊区农村改厕资金测算</w:t>
      </w:r>
    </w:p>
    <w:tbl>
      <w:tblPr>
        <w:tblStyle w:val="30"/>
        <w:tblW w:w="12637" w:type="dxa"/>
        <w:tblInd w:w="-17" w:type="dxa"/>
        <w:tblLayout w:type="autofit"/>
        <w:tblCellMar>
          <w:top w:w="0" w:type="dxa"/>
          <w:left w:w="108" w:type="dxa"/>
          <w:bottom w:w="0" w:type="dxa"/>
          <w:right w:w="108" w:type="dxa"/>
        </w:tblCellMar>
      </w:tblPr>
      <w:tblGrid>
        <w:gridCol w:w="1006"/>
        <w:gridCol w:w="1006"/>
        <w:gridCol w:w="2330"/>
        <w:gridCol w:w="1789"/>
        <w:gridCol w:w="1771"/>
        <w:gridCol w:w="1603"/>
        <w:gridCol w:w="1734"/>
        <w:gridCol w:w="1398"/>
      </w:tblGrid>
      <w:tr w14:paraId="1D422E31">
        <w:tblPrEx>
          <w:tblCellMar>
            <w:top w:w="0" w:type="dxa"/>
            <w:left w:w="108" w:type="dxa"/>
            <w:bottom w:w="0" w:type="dxa"/>
            <w:right w:w="108" w:type="dxa"/>
          </w:tblCellMar>
        </w:tblPrEx>
        <w:trPr>
          <w:trHeight w:val="283" w:hRule="atLeast"/>
        </w:trPr>
        <w:tc>
          <w:tcPr>
            <w:tcW w:w="1006" w:type="dxa"/>
            <w:tcBorders>
              <w:top w:val="single" w:color="000000" w:sz="4" w:space="0"/>
              <w:left w:val="single" w:color="000000" w:sz="4" w:space="0"/>
              <w:bottom w:val="single" w:color="000000" w:sz="4" w:space="0"/>
              <w:right w:val="single" w:color="000000" w:sz="4" w:space="0"/>
            </w:tcBorders>
            <w:noWrap/>
            <w:vAlign w:val="center"/>
          </w:tcPr>
          <w:p w14:paraId="5FA92974">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ascii="黑体" w:hAnsi="黑体" w:eastAsia="黑体" w:cs="宋体"/>
                <w:sz w:val="24"/>
              </w:rPr>
            </w:pPr>
            <w:r>
              <w:rPr>
                <w:rFonts w:hint="eastAsia" w:ascii="黑体" w:hAnsi="黑体" w:eastAsia="黑体" w:cs="宋体"/>
                <w:sz w:val="24"/>
              </w:rPr>
              <w:t>年度</w:t>
            </w:r>
          </w:p>
        </w:tc>
        <w:tc>
          <w:tcPr>
            <w:tcW w:w="1006" w:type="dxa"/>
            <w:tcBorders>
              <w:top w:val="single" w:color="000000" w:sz="4" w:space="0"/>
              <w:left w:val="nil"/>
              <w:bottom w:val="single" w:color="000000" w:sz="4" w:space="0"/>
              <w:right w:val="single" w:color="000000" w:sz="4" w:space="0"/>
            </w:tcBorders>
            <w:noWrap/>
            <w:vAlign w:val="center"/>
          </w:tcPr>
          <w:p w14:paraId="77FE171B">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ascii="黑体" w:hAnsi="黑体" w:eastAsia="黑体" w:cs="宋体"/>
                <w:sz w:val="24"/>
              </w:rPr>
            </w:pPr>
            <w:r>
              <w:rPr>
                <w:rFonts w:hint="eastAsia" w:ascii="黑体" w:hAnsi="黑体" w:eastAsia="黑体" w:cs="宋体"/>
                <w:sz w:val="24"/>
              </w:rPr>
              <w:t>计划</w:t>
            </w:r>
          </w:p>
        </w:tc>
        <w:tc>
          <w:tcPr>
            <w:tcW w:w="2330" w:type="dxa"/>
            <w:tcBorders>
              <w:top w:val="single" w:color="000000" w:sz="4" w:space="0"/>
              <w:left w:val="nil"/>
              <w:bottom w:val="single" w:color="000000" w:sz="4" w:space="0"/>
              <w:right w:val="single" w:color="000000" w:sz="4" w:space="0"/>
            </w:tcBorders>
            <w:noWrap/>
            <w:vAlign w:val="center"/>
          </w:tcPr>
          <w:p w14:paraId="0CC9377E">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ascii="黑体" w:hAnsi="黑体" w:eastAsia="黑体" w:cs="宋体"/>
                <w:sz w:val="24"/>
              </w:rPr>
            </w:pPr>
            <w:r>
              <w:rPr>
                <w:rFonts w:hint="eastAsia" w:ascii="黑体" w:hAnsi="黑体" w:eastAsia="黑体" w:cs="宋体"/>
                <w:sz w:val="24"/>
              </w:rPr>
              <w:t>村名</w:t>
            </w:r>
          </w:p>
        </w:tc>
        <w:tc>
          <w:tcPr>
            <w:tcW w:w="1789" w:type="dxa"/>
            <w:tcBorders>
              <w:top w:val="single" w:color="000000" w:sz="4" w:space="0"/>
              <w:left w:val="nil"/>
              <w:bottom w:val="single" w:color="000000" w:sz="4" w:space="0"/>
              <w:right w:val="single" w:color="000000" w:sz="4" w:space="0"/>
            </w:tcBorders>
            <w:noWrap w:val="0"/>
            <w:vAlign w:val="center"/>
          </w:tcPr>
          <w:p w14:paraId="506FB866">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ascii="黑体" w:hAnsi="黑体" w:eastAsia="黑体" w:cs="宋体"/>
                <w:sz w:val="24"/>
              </w:rPr>
            </w:pPr>
            <w:r>
              <w:rPr>
                <w:rFonts w:hint="eastAsia" w:ascii="黑体" w:hAnsi="黑体" w:eastAsia="黑体" w:cs="宋体"/>
                <w:sz w:val="24"/>
              </w:rPr>
              <w:t>数量（座）</w:t>
            </w:r>
          </w:p>
        </w:tc>
        <w:tc>
          <w:tcPr>
            <w:tcW w:w="1771" w:type="dxa"/>
            <w:tcBorders>
              <w:top w:val="single" w:color="000000" w:sz="4" w:space="0"/>
              <w:left w:val="nil"/>
              <w:bottom w:val="single" w:color="000000" w:sz="4" w:space="0"/>
              <w:right w:val="single" w:color="000000" w:sz="4" w:space="0"/>
            </w:tcBorders>
            <w:noWrap w:val="0"/>
            <w:vAlign w:val="center"/>
          </w:tcPr>
          <w:p w14:paraId="30B3454B">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ascii="黑体" w:hAnsi="黑体" w:eastAsia="黑体" w:cs="宋体"/>
                <w:sz w:val="24"/>
              </w:rPr>
            </w:pPr>
            <w:r>
              <w:rPr>
                <w:rFonts w:hint="eastAsia" w:ascii="黑体" w:hAnsi="黑体" w:eastAsia="黑体" w:cs="宋体"/>
                <w:sz w:val="24"/>
              </w:rPr>
              <w:t>省补（万元</w:t>
            </w:r>
          </w:p>
        </w:tc>
        <w:tc>
          <w:tcPr>
            <w:tcW w:w="1603" w:type="dxa"/>
            <w:tcBorders>
              <w:top w:val="single" w:color="000000" w:sz="4" w:space="0"/>
              <w:left w:val="nil"/>
              <w:bottom w:val="single" w:color="000000" w:sz="4" w:space="0"/>
              <w:right w:val="single" w:color="000000" w:sz="4" w:space="0"/>
            </w:tcBorders>
            <w:noWrap w:val="0"/>
            <w:vAlign w:val="center"/>
          </w:tcPr>
          <w:p w14:paraId="54229049">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ascii="黑体" w:hAnsi="黑体" w:eastAsia="黑体" w:cs="宋体"/>
                <w:sz w:val="24"/>
              </w:rPr>
            </w:pPr>
            <w:r>
              <w:rPr>
                <w:rFonts w:hint="eastAsia" w:ascii="黑体" w:hAnsi="黑体" w:eastAsia="黑体" w:cs="宋体"/>
                <w:sz w:val="24"/>
              </w:rPr>
              <w:t>市补（万元）</w:t>
            </w:r>
          </w:p>
        </w:tc>
        <w:tc>
          <w:tcPr>
            <w:tcW w:w="1734" w:type="dxa"/>
            <w:tcBorders>
              <w:top w:val="single" w:color="000000" w:sz="4" w:space="0"/>
              <w:left w:val="nil"/>
              <w:bottom w:val="single" w:color="000000" w:sz="4" w:space="0"/>
              <w:right w:val="single" w:color="000000" w:sz="4" w:space="0"/>
            </w:tcBorders>
            <w:noWrap w:val="0"/>
            <w:vAlign w:val="center"/>
          </w:tcPr>
          <w:p w14:paraId="5749C674">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ascii="黑体" w:hAnsi="黑体" w:eastAsia="黑体" w:cs="宋体"/>
                <w:sz w:val="24"/>
              </w:rPr>
            </w:pPr>
            <w:r>
              <w:rPr>
                <w:rFonts w:hint="eastAsia" w:ascii="黑体" w:hAnsi="黑体" w:eastAsia="黑体" w:cs="宋体"/>
                <w:sz w:val="24"/>
              </w:rPr>
              <w:t>区补（万元）</w:t>
            </w:r>
          </w:p>
        </w:tc>
        <w:tc>
          <w:tcPr>
            <w:tcW w:w="1398" w:type="dxa"/>
            <w:tcBorders>
              <w:top w:val="single" w:color="000000" w:sz="4" w:space="0"/>
              <w:left w:val="nil"/>
              <w:bottom w:val="single" w:color="000000" w:sz="4" w:space="0"/>
              <w:right w:val="single" w:color="000000" w:sz="4" w:space="0"/>
            </w:tcBorders>
            <w:noWrap w:val="0"/>
            <w:vAlign w:val="center"/>
          </w:tcPr>
          <w:p w14:paraId="5CA383EE">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ascii="黑体" w:hAnsi="黑体" w:eastAsia="黑体" w:cs="宋体"/>
                <w:sz w:val="24"/>
              </w:rPr>
            </w:pPr>
            <w:r>
              <w:rPr>
                <w:rFonts w:hint="eastAsia" w:ascii="黑体" w:hAnsi="黑体" w:eastAsia="黑体" w:cs="宋体"/>
                <w:sz w:val="24"/>
              </w:rPr>
              <w:t>小计（万元）</w:t>
            </w:r>
          </w:p>
        </w:tc>
      </w:tr>
      <w:tr w14:paraId="26EBF444">
        <w:tblPrEx>
          <w:tblCellMar>
            <w:top w:w="0" w:type="dxa"/>
            <w:left w:w="108" w:type="dxa"/>
            <w:bottom w:w="0" w:type="dxa"/>
            <w:right w:w="108" w:type="dxa"/>
          </w:tblCellMar>
        </w:tblPrEx>
        <w:trPr>
          <w:trHeight w:val="283" w:hRule="atLeast"/>
        </w:trPr>
        <w:tc>
          <w:tcPr>
            <w:tcW w:w="1006" w:type="dxa"/>
            <w:vMerge w:val="restart"/>
            <w:tcBorders>
              <w:top w:val="nil"/>
              <w:left w:val="single" w:color="000000" w:sz="4" w:space="0"/>
              <w:bottom w:val="single" w:color="000000" w:sz="4" w:space="0"/>
              <w:right w:val="single" w:color="000000" w:sz="4" w:space="0"/>
            </w:tcBorders>
            <w:noWrap/>
            <w:vAlign w:val="center"/>
          </w:tcPr>
          <w:p w14:paraId="52C5D4AB">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2018</w:t>
            </w:r>
          </w:p>
        </w:tc>
        <w:tc>
          <w:tcPr>
            <w:tcW w:w="1006" w:type="dxa"/>
            <w:vMerge w:val="restart"/>
            <w:tcBorders>
              <w:top w:val="nil"/>
              <w:left w:val="single" w:color="000000" w:sz="4" w:space="0"/>
              <w:bottom w:val="single" w:color="000000" w:sz="4" w:space="0"/>
              <w:right w:val="single" w:color="000000" w:sz="4" w:space="0"/>
            </w:tcBorders>
            <w:noWrap/>
            <w:vAlign w:val="center"/>
          </w:tcPr>
          <w:p w14:paraId="46156B17">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1114座</w:t>
            </w:r>
          </w:p>
        </w:tc>
        <w:tc>
          <w:tcPr>
            <w:tcW w:w="2330" w:type="dxa"/>
            <w:tcBorders>
              <w:top w:val="nil"/>
              <w:left w:val="nil"/>
              <w:bottom w:val="single" w:color="000000" w:sz="4" w:space="0"/>
              <w:right w:val="single" w:color="000000" w:sz="4" w:space="0"/>
            </w:tcBorders>
            <w:noWrap/>
            <w:vAlign w:val="center"/>
          </w:tcPr>
          <w:p w14:paraId="0E2F31A6">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铜山镇铜源居委会</w:t>
            </w:r>
          </w:p>
        </w:tc>
        <w:tc>
          <w:tcPr>
            <w:tcW w:w="1789" w:type="dxa"/>
            <w:tcBorders>
              <w:top w:val="nil"/>
              <w:left w:val="nil"/>
              <w:bottom w:val="single" w:color="000000" w:sz="4" w:space="0"/>
              <w:right w:val="single" w:color="000000" w:sz="4" w:space="0"/>
            </w:tcBorders>
            <w:noWrap/>
            <w:vAlign w:val="center"/>
          </w:tcPr>
          <w:p w14:paraId="6E4FEB3E">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80</w:t>
            </w:r>
          </w:p>
        </w:tc>
        <w:tc>
          <w:tcPr>
            <w:tcW w:w="1771" w:type="dxa"/>
            <w:tcBorders>
              <w:top w:val="nil"/>
              <w:left w:val="nil"/>
              <w:bottom w:val="single" w:color="000000" w:sz="4" w:space="0"/>
              <w:right w:val="single" w:color="000000" w:sz="4" w:space="0"/>
            </w:tcBorders>
            <w:noWrap/>
            <w:vAlign w:val="center"/>
          </w:tcPr>
          <w:p w14:paraId="137F5A40">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0.8</w:t>
            </w:r>
          </w:p>
        </w:tc>
        <w:tc>
          <w:tcPr>
            <w:tcW w:w="1603" w:type="dxa"/>
            <w:tcBorders>
              <w:top w:val="nil"/>
              <w:left w:val="nil"/>
              <w:bottom w:val="single" w:color="000000" w:sz="4" w:space="0"/>
              <w:right w:val="single" w:color="000000" w:sz="4" w:space="0"/>
            </w:tcBorders>
            <w:noWrap/>
            <w:vAlign w:val="center"/>
          </w:tcPr>
          <w:p w14:paraId="38E665BB">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5.067</w:t>
            </w:r>
          </w:p>
        </w:tc>
        <w:tc>
          <w:tcPr>
            <w:tcW w:w="1734" w:type="dxa"/>
            <w:tcBorders>
              <w:top w:val="nil"/>
              <w:left w:val="nil"/>
              <w:bottom w:val="single" w:color="000000" w:sz="4" w:space="0"/>
              <w:right w:val="single" w:color="000000" w:sz="4" w:space="0"/>
            </w:tcBorders>
            <w:noWrap/>
            <w:vAlign w:val="center"/>
          </w:tcPr>
          <w:p w14:paraId="06638B00">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10.133</w:t>
            </w:r>
          </w:p>
        </w:tc>
        <w:tc>
          <w:tcPr>
            <w:tcW w:w="1398" w:type="dxa"/>
            <w:tcBorders>
              <w:top w:val="nil"/>
              <w:left w:val="nil"/>
              <w:bottom w:val="single" w:color="000000" w:sz="4" w:space="0"/>
              <w:right w:val="single" w:color="000000" w:sz="4" w:space="0"/>
            </w:tcBorders>
            <w:noWrap/>
            <w:vAlign w:val="center"/>
          </w:tcPr>
          <w:p w14:paraId="1127D242">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16</w:t>
            </w:r>
          </w:p>
        </w:tc>
      </w:tr>
      <w:tr w14:paraId="7A836821">
        <w:tblPrEx>
          <w:tblCellMar>
            <w:top w:w="0" w:type="dxa"/>
            <w:left w:w="108" w:type="dxa"/>
            <w:bottom w:w="0" w:type="dxa"/>
            <w:right w:w="108" w:type="dxa"/>
          </w:tblCellMar>
        </w:tblPrEx>
        <w:trPr>
          <w:trHeight w:val="283" w:hRule="atLeast"/>
        </w:trPr>
        <w:tc>
          <w:tcPr>
            <w:tcW w:w="1006" w:type="dxa"/>
            <w:vMerge w:val="continue"/>
            <w:tcBorders>
              <w:top w:val="nil"/>
              <w:left w:val="single" w:color="000000" w:sz="4" w:space="0"/>
              <w:bottom w:val="single" w:color="000000" w:sz="4" w:space="0"/>
              <w:right w:val="single" w:color="000000" w:sz="4" w:space="0"/>
            </w:tcBorders>
            <w:noWrap w:val="0"/>
            <w:vAlign w:val="center"/>
          </w:tcPr>
          <w:p w14:paraId="0B437E93">
            <w:pPr>
              <w:keepNext w:val="0"/>
              <w:keepLines w:val="0"/>
              <w:pageBreakBefore w:val="0"/>
              <w:widowControl/>
              <w:kinsoku/>
              <w:wordWrap/>
              <w:overflowPunct/>
              <w:topLinePunct w:val="0"/>
              <w:autoSpaceDE/>
              <w:autoSpaceDN/>
              <w:bidi w:val="0"/>
              <w:adjustRightInd/>
              <w:snapToGrid/>
              <w:spacing w:line="590" w:lineRule="exact"/>
              <w:jc w:val="left"/>
              <w:textAlignment w:val="auto"/>
              <w:rPr>
                <w:rFonts w:eastAsia="仿宋_GB2312"/>
                <w:sz w:val="22"/>
                <w:szCs w:val="22"/>
              </w:rPr>
            </w:pPr>
          </w:p>
        </w:tc>
        <w:tc>
          <w:tcPr>
            <w:tcW w:w="1006" w:type="dxa"/>
            <w:vMerge w:val="continue"/>
            <w:tcBorders>
              <w:top w:val="nil"/>
              <w:left w:val="single" w:color="000000" w:sz="4" w:space="0"/>
              <w:bottom w:val="single" w:color="000000" w:sz="4" w:space="0"/>
              <w:right w:val="single" w:color="000000" w:sz="4" w:space="0"/>
            </w:tcBorders>
            <w:noWrap w:val="0"/>
            <w:vAlign w:val="center"/>
          </w:tcPr>
          <w:p w14:paraId="53FF78C7">
            <w:pPr>
              <w:keepNext w:val="0"/>
              <w:keepLines w:val="0"/>
              <w:pageBreakBefore w:val="0"/>
              <w:widowControl/>
              <w:kinsoku/>
              <w:wordWrap/>
              <w:overflowPunct/>
              <w:topLinePunct w:val="0"/>
              <w:autoSpaceDE/>
              <w:autoSpaceDN/>
              <w:bidi w:val="0"/>
              <w:adjustRightInd/>
              <w:snapToGrid/>
              <w:spacing w:line="590" w:lineRule="exact"/>
              <w:jc w:val="left"/>
              <w:textAlignment w:val="auto"/>
              <w:rPr>
                <w:rFonts w:eastAsia="仿宋_GB2312"/>
                <w:sz w:val="22"/>
                <w:szCs w:val="22"/>
              </w:rPr>
            </w:pPr>
          </w:p>
        </w:tc>
        <w:tc>
          <w:tcPr>
            <w:tcW w:w="2330" w:type="dxa"/>
            <w:tcBorders>
              <w:top w:val="nil"/>
              <w:left w:val="nil"/>
              <w:bottom w:val="single" w:color="000000" w:sz="4" w:space="0"/>
              <w:right w:val="single" w:color="000000" w:sz="4" w:space="0"/>
            </w:tcBorders>
            <w:noWrap/>
            <w:vAlign w:val="center"/>
          </w:tcPr>
          <w:p w14:paraId="4E5824EC">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铜山镇杨村村</w:t>
            </w:r>
          </w:p>
        </w:tc>
        <w:tc>
          <w:tcPr>
            <w:tcW w:w="1789" w:type="dxa"/>
            <w:tcBorders>
              <w:top w:val="nil"/>
              <w:left w:val="nil"/>
              <w:bottom w:val="single" w:color="000000" w:sz="4" w:space="0"/>
              <w:right w:val="single" w:color="000000" w:sz="4" w:space="0"/>
            </w:tcBorders>
            <w:noWrap/>
            <w:vAlign w:val="center"/>
          </w:tcPr>
          <w:p w14:paraId="45E77D1F">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252</w:t>
            </w:r>
          </w:p>
        </w:tc>
        <w:tc>
          <w:tcPr>
            <w:tcW w:w="1771" w:type="dxa"/>
            <w:tcBorders>
              <w:top w:val="nil"/>
              <w:left w:val="nil"/>
              <w:bottom w:val="single" w:color="000000" w:sz="4" w:space="0"/>
              <w:right w:val="single" w:color="000000" w:sz="4" w:space="0"/>
            </w:tcBorders>
            <w:noWrap/>
            <w:vAlign w:val="center"/>
          </w:tcPr>
          <w:p w14:paraId="6794E00D">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2.52</w:t>
            </w:r>
          </w:p>
        </w:tc>
        <w:tc>
          <w:tcPr>
            <w:tcW w:w="1603" w:type="dxa"/>
            <w:tcBorders>
              <w:top w:val="nil"/>
              <w:left w:val="nil"/>
              <w:bottom w:val="single" w:color="000000" w:sz="4" w:space="0"/>
              <w:right w:val="single" w:color="000000" w:sz="4" w:space="0"/>
            </w:tcBorders>
            <w:noWrap/>
            <w:vAlign w:val="center"/>
          </w:tcPr>
          <w:p w14:paraId="35CB5130">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15.96</w:t>
            </w:r>
          </w:p>
        </w:tc>
        <w:tc>
          <w:tcPr>
            <w:tcW w:w="1734" w:type="dxa"/>
            <w:tcBorders>
              <w:top w:val="nil"/>
              <w:left w:val="nil"/>
              <w:bottom w:val="single" w:color="000000" w:sz="4" w:space="0"/>
              <w:right w:val="single" w:color="000000" w:sz="4" w:space="0"/>
            </w:tcBorders>
            <w:noWrap/>
            <w:vAlign w:val="center"/>
          </w:tcPr>
          <w:p w14:paraId="407362E0">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31.92</w:t>
            </w:r>
          </w:p>
        </w:tc>
        <w:tc>
          <w:tcPr>
            <w:tcW w:w="1398" w:type="dxa"/>
            <w:tcBorders>
              <w:top w:val="nil"/>
              <w:left w:val="nil"/>
              <w:bottom w:val="single" w:color="000000" w:sz="4" w:space="0"/>
              <w:right w:val="single" w:color="000000" w:sz="4" w:space="0"/>
            </w:tcBorders>
            <w:noWrap/>
            <w:vAlign w:val="center"/>
          </w:tcPr>
          <w:p w14:paraId="2E7925C2">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50.4</w:t>
            </w:r>
          </w:p>
        </w:tc>
      </w:tr>
      <w:tr w14:paraId="63A26483">
        <w:tblPrEx>
          <w:tblCellMar>
            <w:top w:w="0" w:type="dxa"/>
            <w:left w:w="108" w:type="dxa"/>
            <w:bottom w:w="0" w:type="dxa"/>
            <w:right w:w="108" w:type="dxa"/>
          </w:tblCellMar>
        </w:tblPrEx>
        <w:trPr>
          <w:trHeight w:val="283" w:hRule="atLeast"/>
        </w:trPr>
        <w:tc>
          <w:tcPr>
            <w:tcW w:w="1006" w:type="dxa"/>
            <w:vMerge w:val="continue"/>
            <w:tcBorders>
              <w:top w:val="nil"/>
              <w:left w:val="single" w:color="000000" w:sz="4" w:space="0"/>
              <w:bottom w:val="single" w:color="000000" w:sz="4" w:space="0"/>
              <w:right w:val="single" w:color="000000" w:sz="4" w:space="0"/>
            </w:tcBorders>
            <w:noWrap w:val="0"/>
            <w:vAlign w:val="center"/>
          </w:tcPr>
          <w:p w14:paraId="506817F5">
            <w:pPr>
              <w:keepNext w:val="0"/>
              <w:keepLines w:val="0"/>
              <w:pageBreakBefore w:val="0"/>
              <w:widowControl/>
              <w:kinsoku/>
              <w:wordWrap/>
              <w:overflowPunct/>
              <w:topLinePunct w:val="0"/>
              <w:autoSpaceDE/>
              <w:autoSpaceDN/>
              <w:bidi w:val="0"/>
              <w:adjustRightInd/>
              <w:snapToGrid/>
              <w:spacing w:line="590" w:lineRule="exact"/>
              <w:jc w:val="left"/>
              <w:textAlignment w:val="auto"/>
              <w:rPr>
                <w:rFonts w:eastAsia="仿宋_GB2312"/>
                <w:sz w:val="22"/>
                <w:szCs w:val="22"/>
              </w:rPr>
            </w:pPr>
          </w:p>
        </w:tc>
        <w:tc>
          <w:tcPr>
            <w:tcW w:w="1006" w:type="dxa"/>
            <w:vMerge w:val="continue"/>
            <w:tcBorders>
              <w:top w:val="nil"/>
              <w:left w:val="single" w:color="000000" w:sz="4" w:space="0"/>
              <w:bottom w:val="single" w:color="000000" w:sz="4" w:space="0"/>
              <w:right w:val="single" w:color="000000" w:sz="4" w:space="0"/>
            </w:tcBorders>
            <w:noWrap w:val="0"/>
            <w:vAlign w:val="center"/>
          </w:tcPr>
          <w:p w14:paraId="59A91170">
            <w:pPr>
              <w:keepNext w:val="0"/>
              <w:keepLines w:val="0"/>
              <w:pageBreakBefore w:val="0"/>
              <w:widowControl/>
              <w:kinsoku/>
              <w:wordWrap/>
              <w:overflowPunct/>
              <w:topLinePunct w:val="0"/>
              <w:autoSpaceDE/>
              <w:autoSpaceDN/>
              <w:bidi w:val="0"/>
              <w:adjustRightInd/>
              <w:snapToGrid/>
              <w:spacing w:line="590" w:lineRule="exact"/>
              <w:jc w:val="left"/>
              <w:textAlignment w:val="auto"/>
              <w:rPr>
                <w:rFonts w:eastAsia="仿宋_GB2312"/>
                <w:sz w:val="22"/>
                <w:szCs w:val="22"/>
              </w:rPr>
            </w:pPr>
          </w:p>
        </w:tc>
        <w:tc>
          <w:tcPr>
            <w:tcW w:w="2330" w:type="dxa"/>
            <w:tcBorders>
              <w:top w:val="nil"/>
              <w:left w:val="nil"/>
              <w:bottom w:val="single" w:color="000000" w:sz="4" w:space="0"/>
              <w:right w:val="single" w:color="000000" w:sz="4" w:space="0"/>
            </w:tcBorders>
            <w:noWrap/>
            <w:vAlign w:val="center"/>
          </w:tcPr>
          <w:p w14:paraId="0DD4AAE9">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安铜办马鞍社区</w:t>
            </w:r>
          </w:p>
        </w:tc>
        <w:tc>
          <w:tcPr>
            <w:tcW w:w="1789" w:type="dxa"/>
            <w:tcBorders>
              <w:top w:val="nil"/>
              <w:left w:val="nil"/>
              <w:bottom w:val="single" w:color="000000" w:sz="4" w:space="0"/>
              <w:right w:val="single" w:color="000000" w:sz="4" w:space="0"/>
            </w:tcBorders>
            <w:noWrap/>
            <w:vAlign w:val="center"/>
          </w:tcPr>
          <w:p w14:paraId="5BA834CC">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472</w:t>
            </w:r>
          </w:p>
        </w:tc>
        <w:tc>
          <w:tcPr>
            <w:tcW w:w="1771" w:type="dxa"/>
            <w:tcBorders>
              <w:top w:val="nil"/>
              <w:left w:val="nil"/>
              <w:bottom w:val="single" w:color="000000" w:sz="4" w:space="0"/>
              <w:right w:val="single" w:color="000000" w:sz="4" w:space="0"/>
            </w:tcBorders>
            <w:noWrap/>
            <w:vAlign w:val="center"/>
          </w:tcPr>
          <w:p w14:paraId="65F77769">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4.72</w:t>
            </w:r>
          </w:p>
        </w:tc>
        <w:tc>
          <w:tcPr>
            <w:tcW w:w="1603" w:type="dxa"/>
            <w:tcBorders>
              <w:top w:val="nil"/>
              <w:left w:val="nil"/>
              <w:bottom w:val="single" w:color="000000" w:sz="4" w:space="0"/>
              <w:right w:val="single" w:color="000000" w:sz="4" w:space="0"/>
            </w:tcBorders>
            <w:noWrap/>
            <w:vAlign w:val="center"/>
          </w:tcPr>
          <w:p w14:paraId="0F2182FA">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29.8934</w:t>
            </w:r>
          </w:p>
        </w:tc>
        <w:tc>
          <w:tcPr>
            <w:tcW w:w="1734" w:type="dxa"/>
            <w:tcBorders>
              <w:top w:val="nil"/>
              <w:left w:val="nil"/>
              <w:bottom w:val="single" w:color="000000" w:sz="4" w:space="0"/>
              <w:right w:val="single" w:color="000000" w:sz="4" w:space="0"/>
            </w:tcBorders>
            <w:noWrap/>
            <w:vAlign w:val="center"/>
          </w:tcPr>
          <w:p w14:paraId="0BB5E099">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59.7866</w:t>
            </w:r>
          </w:p>
        </w:tc>
        <w:tc>
          <w:tcPr>
            <w:tcW w:w="1398" w:type="dxa"/>
            <w:tcBorders>
              <w:top w:val="nil"/>
              <w:left w:val="nil"/>
              <w:bottom w:val="single" w:color="000000" w:sz="4" w:space="0"/>
              <w:right w:val="single" w:color="000000" w:sz="4" w:space="0"/>
            </w:tcBorders>
            <w:noWrap/>
            <w:vAlign w:val="center"/>
          </w:tcPr>
          <w:p w14:paraId="788AC302">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94.4</w:t>
            </w:r>
          </w:p>
        </w:tc>
      </w:tr>
      <w:tr w14:paraId="52696D26">
        <w:tblPrEx>
          <w:tblCellMar>
            <w:top w:w="0" w:type="dxa"/>
            <w:left w:w="108" w:type="dxa"/>
            <w:bottom w:w="0" w:type="dxa"/>
            <w:right w:w="108" w:type="dxa"/>
          </w:tblCellMar>
        </w:tblPrEx>
        <w:trPr>
          <w:trHeight w:val="283" w:hRule="atLeast"/>
        </w:trPr>
        <w:tc>
          <w:tcPr>
            <w:tcW w:w="1006" w:type="dxa"/>
            <w:vMerge w:val="continue"/>
            <w:tcBorders>
              <w:top w:val="nil"/>
              <w:left w:val="single" w:color="000000" w:sz="4" w:space="0"/>
              <w:bottom w:val="single" w:color="000000" w:sz="4" w:space="0"/>
              <w:right w:val="single" w:color="000000" w:sz="4" w:space="0"/>
            </w:tcBorders>
            <w:noWrap w:val="0"/>
            <w:vAlign w:val="center"/>
          </w:tcPr>
          <w:p w14:paraId="25824D4B">
            <w:pPr>
              <w:keepNext w:val="0"/>
              <w:keepLines w:val="0"/>
              <w:pageBreakBefore w:val="0"/>
              <w:widowControl/>
              <w:kinsoku/>
              <w:wordWrap/>
              <w:overflowPunct/>
              <w:topLinePunct w:val="0"/>
              <w:autoSpaceDE/>
              <w:autoSpaceDN/>
              <w:bidi w:val="0"/>
              <w:adjustRightInd/>
              <w:snapToGrid/>
              <w:spacing w:line="590" w:lineRule="exact"/>
              <w:jc w:val="left"/>
              <w:textAlignment w:val="auto"/>
              <w:rPr>
                <w:rFonts w:eastAsia="仿宋_GB2312"/>
                <w:sz w:val="22"/>
                <w:szCs w:val="22"/>
              </w:rPr>
            </w:pPr>
          </w:p>
        </w:tc>
        <w:tc>
          <w:tcPr>
            <w:tcW w:w="1006" w:type="dxa"/>
            <w:vMerge w:val="continue"/>
            <w:tcBorders>
              <w:top w:val="nil"/>
              <w:left w:val="single" w:color="000000" w:sz="4" w:space="0"/>
              <w:bottom w:val="single" w:color="000000" w:sz="4" w:space="0"/>
              <w:right w:val="single" w:color="000000" w:sz="4" w:space="0"/>
            </w:tcBorders>
            <w:noWrap w:val="0"/>
            <w:vAlign w:val="center"/>
          </w:tcPr>
          <w:p w14:paraId="5CF66A0F">
            <w:pPr>
              <w:keepNext w:val="0"/>
              <w:keepLines w:val="0"/>
              <w:pageBreakBefore w:val="0"/>
              <w:widowControl/>
              <w:kinsoku/>
              <w:wordWrap/>
              <w:overflowPunct/>
              <w:topLinePunct w:val="0"/>
              <w:autoSpaceDE/>
              <w:autoSpaceDN/>
              <w:bidi w:val="0"/>
              <w:adjustRightInd/>
              <w:snapToGrid/>
              <w:spacing w:line="590" w:lineRule="exact"/>
              <w:jc w:val="left"/>
              <w:textAlignment w:val="auto"/>
              <w:rPr>
                <w:rFonts w:eastAsia="仿宋_GB2312"/>
                <w:sz w:val="22"/>
                <w:szCs w:val="22"/>
              </w:rPr>
            </w:pPr>
          </w:p>
        </w:tc>
        <w:tc>
          <w:tcPr>
            <w:tcW w:w="2330" w:type="dxa"/>
            <w:tcBorders>
              <w:top w:val="nil"/>
              <w:left w:val="nil"/>
              <w:bottom w:val="single" w:color="000000" w:sz="4" w:space="0"/>
              <w:right w:val="single" w:color="000000" w:sz="4" w:space="0"/>
            </w:tcBorders>
            <w:noWrap/>
            <w:vAlign w:val="center"/>
          </w:tcPr>
          <w:p w14:paraId="2F463A45">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灰河乡太阳村</w:t>
            </w:r>
          </w:p>
        </w:tc>
        <w:tc>
          <w:tcPr>
            <w:tcW w:w="1789" w:type="dxa"/>
            <w:tcBorders>
              <w:top w:val="nil"/>
              <w:left w:val="nil"/>
              <w:bottom w:val="single" w:color="000000" w:sz="4" w:space="0"/>
              <w:right w:val="single" w:color="000000" w:sz="4" w:space="0"/>
            </w:tcBorders>
            <w:noWrap/>
            <w:vAlign w:val="center"/>
          </w:tcPr>
          <w:p w14:paraId="4FB4A267">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310</w:t>
            </w:r>
          </w:p>
        </w:tc>
        <w:tc>
          <w:tcPr>
            <w:tcW w:w="1771" w:type="dxa"/>
            <w:tcBorders>
              <w:top w:val="nil"/>
              <w:left w:val="nil"/>
              <w:bottom w:val="single" w:color="000000" w:sz="4" w:space="0"/>
              <w:right w:val="single" w:color="000000" w:sz="4" w:space="0"/>
            </w:tcBorders>
            <w:noWrap/>
            <w:vAlign w:val="center"/>
          </w:tcPr>
          <w:p w14:paraId="18B776BD">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3.1</w:t>
            </w:r>
          </w:p>
        </w:tc>
        <w:tc>
          <w:tcPr>
            <w:tcW w:w="1603" w:type="dxa"/>
            <w:tcBorders>
              <w:top w:val="nil"/>
              <w:left w:val="nil"/>
              <w:bottom w:val="single" w:color="000000" w:sz="4" w:space="0"/>
              <w:right w:val="single" w:color="000000" w:sz="4" w:space="0"/>
            </w:tcBorders>
            <w:noWrap/>
            <w:vAlign w:val="center"/>
          </w:tcPr>
          <w:p w14:paraId="42224B97">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19.6334</w:t>
            </w:r>
          </w:p>
        </w:tc>
        <w:tc>
          <w:tcPr>
            <w:tcW w:w="1734" w:type="dxa"/>
            <w:tcBorders>
              <w:top w:val="nil"/>
              <w:left w:val="nil"/>
              <w:bottom w:val="single" w:color="000000" w:sz="4" w:space="0"/>
              <w:right w:val="single" w:color="000000" w:sz="4" w:space="0"/>
            </w:tcBorders>
            <w:noWrap/>
            <w:vAlign w:val="center"/>
          </w:tcPr>
          <w:p w14:paraId="4E73231B">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39.2666</w:t>
            </w:r>
          </w:p>
        </w:tc>
        <w:tc>
          <w:tcPr>
            <w:tcW w:w="1398" w:type="dxa"/>
            <w:tcBorders>
              <w:top w:val="nil"/>
              <w:left w:val="nil"/>
              <w:bottom w:val="single" w:color="000000" w:sz="4" w:space="0"/>
              <w:right w:val="single" w:color="000000" w:sz="4" w:space="0"/>
            </w:tcBorders>
            <w:noWrap/>
            <w:vAlign w:val="center"/>
          </w:tcPr>
          <w:p w14:paraId="5C29DDAB">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62</w:t>
            </w:r>
          </w:p>
        </w:tc>
      </w:tr>
      <w:tr w14:paraId="72D018A2">
        <w:tblPrEx>
          <w:tblCellMar>
            <w:top w:w="0" w:type="dxa"/>
            <w:left w:w="108" w:type="dxa"/>
            <w:bottom w:w="0" w:type="dxa"/>
            <w:right w:w="108" w:type="dxa"/>
          </w:tblCellMar>
        </w:tblPrEx>
        <w:trPr>
          <w:trHeight w:val="283" w:hRule="atLeast"/>
        </w:trPr>
        <w:tc>
          <w:tcPr>
            <w:tcW w:w="1006" w:type="dxa"/>
            <w:vMerge w:val="continue"/>
            <w:tcBorders>
              <w:top w:val="nil"/>
              <w:left w:val="single" w:color="000000" w:sz="4" w:space="0"/>
              <w:bottom w:val="single" w:color="000000" w:sz="4" w:space="0"/>
              <w:right w:val="single" w:color="000000" w:sz="4" w:space="0"/>
            </w:tcBorders>
            <w:noWrap w:val="0"/>
            <w:vAlign w:val="center"/>
          </w:tcPr>
          <w:p w14:paraId="6B9B345D">
            <w:pPr>
              <w:keepNext w:val="0"/>
              <w:keepLines w:val="0"/>
              <w:pageBreakBefore w:val="0"/>
              <w:widowControl/>
              <w:kinsoku/>
              <w:wordWrap/>
              <w:overflowPunct/>
              <w:topLinePunct w:val="0"/>
              <w:autoSpaceDE/>
              <w:autoSpaceDN/>
              <w:bidi w:val="0"/>
              <w:adjustRightInd/>
              <w:snapToGrid/>
              <w:spacing w:line="590" w:lineRule="exact"/>
              <w:jc w:val="left"/>
              <w:textAlignment w:val="auto"/>
              <w:rPr>
                <w:rFonts w:eastAsia="仿宋_GB2312"/>
                <w:sz w:val="22"/>
                <w:szCs w:val="22"/>
              </w:rPr>
            </w:pPr>
          </w:p>
        </w:tc>
        <w:tc>
          <w:tcPr>
            <w:tcW w:w="1006" w:type="dxa"/>
            <w:vMerge w:val="continue"/>
            <w:tcBorders>
              <w:top w:val="nil"/>
              <w:left w:val="single" w:color="000000" w:sz="4" w:space="0"/>
              <w:bottom w:val="single" w:color="000000" w:sz="4" w:space="0"/>
              <w:right w:val="single" w:color="000000" w:sz="4" w:space="0"/>
            </w:tcBorders>
            <w:noWrap w:val="0"/>
            <w:vAlign w:val="center"/>
          </w:tcPr>
          <w:p w14:paraId="5C56E767">
            <w:pPr>
              <w:keepNext w:val="0"/>
              <w:keepLines w:val="0"/>
              <w:pageBreakBefore w:val="0"/>
              <w:widowControl/>
              <w:kinsoku/>
              <w:wordWrap/>
              <w:overflowPunct/>
              <w:topLinePunct w:val="0"/>
              <w:autoSpaceDE/>
              <w:autoSpaceDN/>
              <w:bidi w:val="0"/>
              <w:adjustRightInd/>
              <w:snapToGrid/>
              <w:spacing w:line="590" w:lineRule="exact"/>
              <w:jc w:val="left"/>
              <w:textAlignment w:val="auto"/>
              <w:rPr>
                <w:rFonts w:eastAsia="仿宋_GB2312"/>
                <w:sz w:val="22"/>
                <w:szCs w:val="22"/>
              </w:rPr>
            </w:pPr>
          </w:p>
        </w:tc>
        <w:tc>
          <w:tcPr>
            <w:tcW w:w="2330" w:type="dxa"/>
            <w:tcBorders>
              <w:top w:val="nil"/>
              <w:left w:val="nil"/>
              <w:bottom w:val="single" w:color="000000" w:sz="4" w:space="0"/>
              <w:right w:val="single" w:color="000000" w:sz="4" w:space="0"/>
            </w:tcBorders>
            <w:noWrap/>
            <w:vAlign w:val="center"/>
          </w:tcPr>
          <w:p w14:paraId="3324F75B">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大通镇金华村</w:t>
            </w:r>
          </w:p>
        </w:tc>
        <w:tc>
          <w:tcPr>
            <w:tcW w:w="1789" w:type="dxa"/>
            <w:tcBorders>
              <w:top w:val="nil"/>
              <w:left w:val="nil"/>
              <w:bottom w:val="single" w:color="000000" w:sz="4" w:space="0"/>
              <w:right w:val="single" w:color="000000" w:sz="4" w:space="0"/>
            </w:tcBorders>
            <w:noWrap/>
            <w:vAlign w:val="center"/>
          </w:tcPr>
          <w:p w14:paraId="1704371C">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0</w:t>
            </w:r>
          </w:p>
        </w:tc>
        <w:tc>
          <w:tcPr>
            <w:tcW w:w="1771" w:type="dxa"/>
            <w:tcBorders>
              <w:top w:val="nil"/>
              <w:left w:val="nil"/>
              <w:bottom w:val="single" w:color="000000" w:sz="4" w:space="0"/>
              <w:right w:val="single" w:color="000000" w:sz="4" w:space="0"/>
            </w:tcBorders>
            <w:noWrap/>
            <w:vAlign w:val="center"/>
          </w:tcPr>
          <w:p w14:paraId="385C73DC">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0</w:t>
            </w:r>
          </w:p>
        </w:tc>
        <w:tc>
          <w:tcPr>
            <w:tcW w:w="1603" w:type="dxa"/>
            <w:tcBorders>
              <w:top w:val="nil"/>
              <w:left w:val="nil"/>
              <w:bottom w:val="single" w:color="000000" w:sz="4" w:space="0"/>
              <w:right w:val="single" w:color="000000" w:sz="4" w:space="0"/>
            </w:tcBorders>
            <w:noWrap/>
            <w:vAlign w:val="center"/>
          </w:tcPr>
          <w:p w14:paraId="1FA2142E">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0</w:t>
            </w:r>
          </w:p>
        </w:tc>
        <w:tc>
          <w:tcPr>
            <w:tcW w:w="1734" w:type="dxa"/>
            <w:tcBorders>
              <w:top w:val="nil"/>
              <w:left w:val="nil"/>
              <w:bottom w:val="single" w:color="000000" w:sz="4" w:space="0"/>
              <w:right w:val="single" w:color="000000" w:sz="4" w:space="0"/>
            </w:tcBorders>
            <w:noWrap/>
            <w:vAlign w:val="center"/>
          </w:tcPr>
          <w:p w14:paraId="10E62430">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0</w:t>
            </w:r>
          </w:p>
        </w:tc>
        <w:tc>
          <w:tcPr>
            <w:tcW w:w="1398" w:type="dxa"/>
            <w:tcBorders>
              <w:top w:val="nil"/>
              <w:left w:val="nil"/>
              <w:bottom w:val="single" w:color="000000" w:sz="4" w:space="0"/>
              <w:right w:val="single" w:color="000000" w:sz="4" w:space="0"/>
            </w:tcBorders>
            <w:noWrap/>
            <w:vAlign w:val="center"/>
          </w:tcPr>
          <w:p w14:paraId="5DC85E0B">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0</w:t>
            </w:r>
          </w:p>
        </w:tc>
      </w:tr>
      <w:tr w14:paraId="46A0E3B2">
        <w:tblPrEx>
          <w:tblCellMar>
            <w:top w:w="0" w:type="dxa"/>
            <w:left w:w="108" w:type="dxa"/>
            <w:bottom w:w="0" w:type="dxa"/>
            <w:right w:w="108" w:type="dxa"/>
          </w:tblCellMar>
        </w:tblPrEx>
        <w:trPr>
          <w:trHeight w:val="283" w:hRule="atLeast"/>
        </w:trPr>
        <w:tc>
          <w:tcPr>
            <w:tcW w:w="1006" w:type="dxa"/>
            <w:vMerge w:val="continue"/>
            <w:tcBorders>
              <w:top w:val="nil"/>
              <w:left w:val="single" w:color="000000" w:sz="4" w:space="0"/>
              <w:bottom w:val="single" w:color="000000" w:sz="4" w:space="0"/>
              <w:right w:val="single" w:color="000000" w:sz="4" w:space="0"/>
            </w:tcBorders>
            <w:noWrap w:val="0"/>
            <w:vAlign w:val="center"/>
          </w:tcPr>
          <w:p w14:paraId="45FC5A28">
            <w:pPr>
              <w:keepNext w:val="0"/>
              <w:keepLines w:val="0"/>
              <w:pageBreakBefore w:val="0"/>
              <w:widowControl/>
              <w:kinsoku/>
              <w:wordWrap/>
              <w:overflowPunct/>
              <w:topLinePunct w:val="0"/>
              <w:autoSpaceDE/>
              <w:autoSpaceDN/>
              <w:bidi w:val="0"/>
              <w:adjustRightInd/>
              <w:snapToGrid/>
              <w:spacing w:line="590" w:lineRule="exact"/>
              <w:jc w:val="left"/>
              <w:textAlignment w:val="auto"/>
              <w:rPr>
                <w:rFonts w:eastAsia="仿宋_GB2312"/>
                <w:sz w:val="22"/>
                <w:szCs w:val="22"/>
              </w:rPr>
            </w:pPr>
          </w:p>
        </w:tc>
        <w:tc>
          <w:tcPr>
            <w:tcW w:w="1006" w:type="dxa"/>
            <w:vMerge w:val="continue"/>
            <w:tcBorders>
              <w:top w:val="nil"/>
              <w:left w:val="single" w:color="000000" w:sz="4" w:space="0"/>
              <w:bottom w:val="single" w:color="000000" w:sz="4" w:space="0"/>
              <w:right w:val="single" w:color="000000" w:sz="4" w:space="0"/>
            </w:tcBorders>
            <w:noWrap w:val="0"/>
            <w:vAlign w:val="center"/>
          </w:tcPr>
          <w:p w14:paraId="73D4D096">
            <w:pPr>
              <w:keepNext w:val="0"/>
              <w:keepLines w:val="0"/>
              <w:pageBreakBefore w:val="0"/>
              <w:widowControl/>
              <w:kinsoku/>
              <w:wordWrap/>
              <w:overflowPunct/>
              <w:topLinePunct w:val="0"/>
              <w:autoSpaceDE/>
              <w:autoSpaceDN/>
              <w:bidi w:val="0"/>
              <w:adjustRightInd/>
              <w:snapToGrid/>
              <w:spacing w:line="590" w:lineRule="exact"/>
              <w:jc w:val="left"/>
              <w:textAlignment w:val="auto"/>
              <w:rPr>
                <w:rFonts w:eastAsia="仿宋_GB2312"/>
                <w:sz w:val="22"/>
                <w:szCs w:val="22"/>
              </w:rPr>
            </w:pPr>
          </w:p>
        </w:tc>
        <w:tc>
          <w:tcPr>
            <w:tcW w:w="2330" w:type="dxa"/>
            <w:tcBorders>
              <w:top w:val="nil"/>
              <w:left w:val="nil"/>
              <w:bottom w:val="single" w:color="000000" w:sz="4" w:space="0"/>
              <w:right w:val="single" w:color="000000" w:sz="4" w:space="0"/>
            </w:tcBorders>
            <w:noWrap/>
            <w:vAlign w:val="center"/>
          </w:tcPr>
          <w:p w14:paraId="7FBF9DB9">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大通镇大院村</w:t>
            </w:r>
          </w:p>
        </w:tc>
        <w:tc>
          <w:tcPr>
            <w:tcW w:w="1789" w:type="dxa"/>
            <w:tcBorders>
              <w:top w:val="nil"/>
              <w:left w:val="nil"/>
              <w:bottom w:val="single" w:color="000000" w:sz="4" w:space="0"/>
              <w:right w:val="single" w:color="000000" w:sz="4" w:space="0"/>
            </w:tcBorders>
            <w:noWrap/>
            <w:vAlign w:val="center"/>
          </w:tcPr>
          <w:p w14:paraId="44039D69">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0</w:t>
            </w:r>
          </w:p>
        </w:tc>
        <w:tc>
          <w:tcPr>
            <w:tcW w:w="1771" w:type="dxa"/>
            <w:tcBorders>
              <w:top w:val="nil"/>
              <w:left w:val="nil"/>
              <w:bottom w:val="single" w:color="000000" w:sz="4" w:space="0"/>
              <w:right w:val="single" w:color="000000" w:sz="4" w:space="0"/>
            </w:tcBorders>
            <w:noWrap/>
            <w:vAlign w:val="center"/>
          </w:tcPr>
          <w:p w14:paraId="6EC4DACC">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0</w:t>
            </w:r>
          </w:p>
        </w:tc>
        <w:tc>
          <w:tcPr>
            <w:tcW w:w="1603" w:type="dxa"/>
            <w:tcBorders>
              <w:top w:val="nil"/>
              <w:left w:val="nil"/>
              <w:bottom w:val="single" w:color="000000" w:sz="4" w:space="0"/>
              <w:right w:val="single" w:color="000000" w:sz="4" w:space="0"/>
            </w:tcBorders>
            <w:noWrap/>
            <w:vAlign w:val="center"/>
          </w:tcPr>
          <w:p w14:paraId="0D09158B">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0</w:t>
            </w:r>
          </w:p>
        </w:tc>
        <w:tc>
          <w:tcPr>
            <w:tcW w:w="1734" w:type="dxa"/>
            <w:tcBorders>
              <w:top w:val="nil"/>
              <w:left w:val="nil"/>
              <w:bottom w:val="single" w:color="000000" w:sz="4" w:space="0"/>
              <w:right w:val="single" w:color="000000" w:sz="4" w:space="0"/>
            </w:tcBorders>
            <w:noWrap/>
            <w:vAlign w:val="center"/>
          </w:tcPr>
          <w:p w14:paraId="0D39FE9E">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0</w:t>
            </w:r>
          </w:p>
        </w:tc>
        <w:tc>
          <w:tcPr>
            <w:tcW w:w="1398" w:type="dxa"/>
            <w:tcBorders>
              <w:top w:val="nil"/>
              <w:left w:val="nil"/>
              <w:bottom w:val="single" w:color="000000" w:sz="4" w:space="0"/>
              <w:right w:val="single" w:color="000000" w:sz="4" w:space="0"/>
            </w:tcBorders>
            <w:noWrap/>
            <w:vAlign w:val="center"/>
          </w:tcPr>
          <w:p w14:paraId="7E541780">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0</w:t>
            </w:r>
          </w:p>
        </w:tc>
      </w:tr>
      <w:tr w14:paraId="29C89D1F">
        <w:tblPrEx>
          <w:tblCellMar>
            <w:top w:w="0" w:type="dxa"/>
            <w:left w:w="108" w:type="dxa"/>
            <w:bottom w:w="0" w:type="dxa"/>
            <w:right w:w="108" w:type="dxa"/>
          </w:tblCellMar>
        </w:tblPrEx>
        <w:trPr>
          <w:trHeight w:val="283" w:hRule="atLeast"/>
        </w:trPr>
        <w:tc>
          <w:tcPr>
            <w:tcW w:w="1006" w:type="dxa"/>
            <w:vMerge w:val="restart"/>
            <w:tcBorders>
              <w:top w:val="nil"/>
              <w:left w:val="single" w:color="000000" w:sz="4" w:space="0"/>
              <w:bottom w:val="single" w:color="000000" w:sz="4" w:space="0"/>
              <w:right w:val="single" w:color="000000" w:sz="4" w:space="0"/>
            </w:tcBorders>
            <w:noWrap/>
            <w:vAlign w:val="center"/>
          </w:tcPr>
          <w:p w14:paraId="465912A2">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2019</w:t>
            </w:r>
          </w:p>
        </w:tc>
        <w:tc>
          <w:tcPr>
            <w:tcW w:w="1006" w:type="dxa"/>
            <w:vMerge w:val="restart"/>
            <w:tcBorders>
              <w:top w:val="nil"/>
              <w:left w:val="single" w:color="000000" w:sz="4" w:space="0"/>
              <w:bottom w:val="single" w:color="000000" w:sz="4" w:space="0"/>
              <w:right w:val="single" w:color="000000" w:sz="4" w:space="0"/>
            </w:tcBorders>
            <w:noWrap/>
            <w:vAlign w:val="center"/>
          </w:tcPr>
          <w:p w14:paraId="6A8F7E8E">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707座</w:t>
            </w:r>
          </w:p>
        </w:tc>
        <w:tc>
          <w:tcPr>
            <w:tcW w:w="2330" w:type="dxa"/>
            <w:tcBorders>
              <w:top w:val="nil"/>
              <w:left w:val="nil"/>
              <w:bottom w:val="single" w:color="000000" w:sz="4" w:space="0"/>
              <w:right w:val="single" w:color="000000" w:sz="4" w:space="0"/>
            </w:tcBorders>
            <w:noWrap/>
            <w:vAlign w:val="center"/>
          </w:tcPr>
          <w:p w14:paraId="700215D8">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铜山镇南泉村</w:t>
            </w:r>
          </w:p>
        </w:tc>
        <w:tc>
          <w:tcPr>
            <w:tcW w:w="1789" w:type="dxa"/>
            <w:tcBorders>
              <w:top w:val="nil"/>
              <w:left w:val="nil"/>
              <w:bottom w:val="single" w:color="000000" w:sz="4" w:space="0"/>
              <w:right w:val="single" w:color="000000" w:sz="4" w:space="0"/>
            </w:tcBorders>
            <w:noWrap/>
            <w:vAlign w:val="center"/>
          </w:tcPr>
          <w:p w14:paraId="03413420">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17</w:t>
            </w:r>
          </w:p>
        </w:tc>
        <w:tc>
          <w:tcPr>
            <w:tcW w:w="1771" w:type="dxa"/>
            <w:tcBorders>
              <w:top w:val="nil"/>
              <w:left w:val="nil"/>
              <w:bottom w:val="single" w:color="000000" w:sz="4" w:space="0"/>
              <w:right w:val="single" w:color="000000" w:sz="4" w:space="0"/>
            </w:tcBorders>
            <w:noWrap/>
            <w:vAlign w:val="center"/>
          </w:tcPr>
          <w:p w14:paraId="6E6DD288">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0.17</w:t>
            </w:r>
          </w:p>
        </w:tc>
        <w:tc>
          <w:tcPr>
            <w:tcW w:w="1603" w:type="dxa"/>
            <w:tcBorders>
              <w:top w:val="nil"/>
              <w:left w:val="nil"/>
              <w:bottom w:val="single" w:color="000000" w:sz="4" w:space="0"/>
              <w:right w:val="single" w:color="000000" w:sz="4" w:space="0"/>
            </w:tcBorders>
            <w:noWrap/>
            <w:vAlign w:val="center"/>
          </w:tcPr>
          <w:p w14:paraId="1D203877">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1.0767</w:t>
            </w:r>
          </w:p>
        </w:tc>
        <w:tc>
          <w:tcPr>
            <w:tcW w:w="1734" w:type="dxa"/>
            <w:tcBorders>
              <w:top w:val="nil"/>
              <w:left w:val="nil"/>
              <w:bottom w:val="single" w:color="000000" w:sz="4" w:space="0"/>
              <w:right w:val="single" w:color="000000" w:sz="4" w:space="0"/>
            </w:tcBorders>
            <w:noWrap/>
            <w:vAlign w:val="center"/>
          </w:tcPr>
          <w:p w14:paraId="53CFE46F">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2.1533</w:t>
            </w:r>
          </w:p>
        </w:tc>
        <w:tc>
          <w:tcPr>
            <w:tcW w:w="1398" w:type="dxa"/>
            <w:tcBorders>
              <w:top w:val="nil"/>
              <w:left w:val="nil"/>
              <w:bottom w:val="single" w:color="000000" w:sz="4" w:space="0"/>
              <w:right w:val="single" w:color="000000" w:sz="4" w:space="0"/>
            </w:tcBorders>
            <w:noWrap/>
            <w:vAlign w:val="center"/>
          </w:tcPr>
          <w:p w14:paraId="772F0038">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3.4</w:t>
            </w:r>
          </w:p>
        </w:tc>
      </w:tr>
      <w:tr w14:paraId="20B892B4">
        <w:tblPrEx>
          <w:tblCellMar>
            <w:top w:w="0" w:type="dxa"/>
            <w:left w:w="108" w:type="dxa"/>
            <w:bottom w:w="0" w:type="dxa"/>
            <w:right w:w="108" w:type="dxa"/>
          </w:tblCellMar>
        </w:tblPrEx>
        <w:trPr>
          <w:trHeight w:val="283" w:hRule="atLeast"/>
        </w:trPr>
        <w:tc>
          <w:tcPr>
            <w:tcW w:w="1006" w:type="dxa"/>
            <w:vMerge w:val="continue"/>
            <w:tcBorders>
              <w:top w:val="nil"/>
              <w:left w:val="single" w:color="000000" w:sz="4" w:space="0"/>
              <w:bottom w:val="single" w:color="000000" w:sz="4" w:space="0"/>
              <w:right w:val="single" w:color="000000" w:sz="4" w:space="0"/>
            </w:tcBorders>
            <w:noWrap w:val="0"/>
            <w:vAlign w:val="center"/>
          </w:tcPr>
          <w:p w14:paraId="4E49FB47">
            <w:pPr>
              <w:keepNext w:val="0"/>
              <w:keepLines w:val="0"/>
              <w:pageBreakBefore w:val="0"/>
              <w:widowControl/>
              <w:kinsoku/>
              <w:wordWrap/>
              <w:overflowPunct/>
              <w:topLinePunct w:val="0"/>
              <w:autoSpaceDE/>
              <w:autoSpaceDN/>
              <w:bidi w:val="0"/>
              <w:adjustRightInd/>
              <w:snapToGrid/>
              <w:spacing w:line="590" w:lineRule="exact"/>
              <w:jc w:val="left"/>
              <w:textAlignment w:val="auto"/>
              <w:rPr>
                <w:rFonts w:eastAsia="仿宋_GB2312"/>
                <w:sz w:val="22"/>
                <w:szCs w:val="22"/>
              </w:rPr>
            </w:pPr>
          </w:p>
        </w:tc>
        <w:tc>
          <w:tcPr>
            <w:tcW w:w="1006" w:type="dxa"/>
            <w:vMerge w:val="continue"/>
            <w:tcBorders>
              <w:top w:val="nil"/>
              <w:left w:val="single" w:color="000000" w:sz="4" w:space="0"/>
              <w:bottom w:val="single" w:color="000000" w:sz="4" w:space="0"/>
              <w:right w:val="single" w:color="000000" w:sz="4" w:space="0"/>
            </w:tcBorders>
            <w:noWrap w:val="0"/>
            <w:vAlign w:val="center"/>
          </w:tcPr>
          <w:p w14:paraId="11DFE39D">
            <w:pPr>
              <w:keepNext w:val="0"/>
              <w:keepLines w:val="0"/>
              <w:pageBreakBefore w:val="0"/>
              <w:widowControl/>
              <w:kinsoku/>
              <w:wordWrap/>
              <w:overflowPunct/>
              <w:topLinePunct w:val="0"/>
              <w:autoSpaceDE/>
              <w:autoSpaceDN/>
              <w:bidi w:val="0"/>
              <w:adjustRightInd/>
              <w:snapToGrid/>
              <w:spacing w:line="590" w:lineRule="exact"/>
              <w:jc w:val="left"/>
              <w:textAlignment w:val="auto"/>
              <w:rPr>
                <w:rFonts w:eastAsia="仿宋_GB2312"/>
                <w:sz w:val="22"/>
                <w:szCs w:val="22"/>
              </w:rPr>
            </w:pPr>
          </w:p>
        </w:tc>
        <w:tc>
          <w:tcPr>
            <w:tcW w:w="2330" w:type="dxa"/>
            <w:tcBorders>
              <w:top w:val="nil"/>
              <w:left w:val="nil"/>
              <w:bottom w:val="single" w:color="000000" w:sz="4" w:space="0"/>
              <w:right w:val="single" w:color="000000" w:sz="4" w:space="0"/>
            </w:tcBorders>
            <w:noWrap/>
            <w:vAlign w:val="center"/>
          </w:tcPr>
          <w:p w14:paraId="1DFA27E7">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安铜办旗星村</w:t>
            </w:r>
          </w:p>
        </w:tc>
        <w:tc>
          <w:tcPr>
            <w:tcW w:w="1789" w:type="dxa"/>
            <w:tcBorders>
              <w:top w:val="nil"/>
              <w:left w:val="nil"/>
              <w:bottom w:val="single" w:color="000000" w:sz="4" w:space="0"/>
              <w:right w:val="single" w:color="000000" w:sz="4" w:space="0"/>
            </w:tcBorders>
            <w:noWrap/>
            <w:vAlign w:val="center"/>
          </w:tcPr>
          <w:p w14:paraId="7861522D">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155</w:t>
            </w:r>
          </w:p>
        </w:tc>
        <w:tc>
          <w:tcPr>
            <w:tcW w:w="1771" w:type="dxa"/>
            <w:tcBorders>
              <w:top w:val="nil"/>
              <w:left w:val="nil"/>
              <w:bottom w:val="single" w:color="000000" w:sz="4" w:space="0"/>
              <w:right w:val="single" w:color="000000" w:sz="4" w:space="0"/>
            </w:tcBorders>
            <w:noWrap/>
            <w:vAlign w:val="center"/>
          </w:tcPr>
          <w:p w14:paraId="616F039E">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1.55</w:t>
            </w:r>
          </w:p>
        </w:tc>
        <w:tc>
          <w:tcPr>
            <w:tcW w:w="1603" w:type="dxa"/>
            <w:tcBorders>
              <w:top w:val="nil"/>
              <w:left w:val="nil"/>
              <w:bottom w:val="single" w:color="000000" w:sz="4" w:space="0"/>
              <w:right w:val="single" w:color="000000" w:sz="4" w:space="0"/>
            </w:tcBorders>
            <w:noWrap/>
            <w:vAlign w:val="center"/>
          </w:tcPr>
          <w:p w14:paraId="306E404B">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9.8167</w:t>
            </w:r>
          </w:p>
        </w:tc>
        <w:tc>
          <w:tcPr>
            <w:tcW w:w="1734" w:type="dxa"/>
            <w:tcBorders>
              <w:top w:val="nil"/>
              <w:left w:val="nil"/>
              <w:bottom w:val="single" w:color="000000" w:sz="4" w:space="0"/>
              <w:right w:val="single" w:color="000000" w:sz="4" w:space="0"/>
            </w:tcBorders>
            <w:noWrap/>
            <w:vAlign w:val="center"/>
          </w:tcPr>
          <w:p w14:paraId="25252AE1">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19.6333</w:t>
            </w:r>
          </w:p>
        </w:tc>
        <w:tc>
          <w:tcPr>
            <w:tcW w:w="1398" w:type="dxa"/>
            <w:tcBorders>
              <w:top w:val="nil"/>
              <w:left w:val="nil"/>
              <w:bottom w:val="single" w:color="000000" w:sz="4" w:space="0"/>
              <w:right w:val="single" w:color="000000" w:sz="4" w:space="0"/>
            </w:tcBorders>
            <w:noWrap/>
            <w:vAlign w:val="center"/>
          </w:tcPr>
          <w:p w14:paraId="54F59BFF">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31</w:t>
            </w:r>
          </w:p>
        </w:tc>
      </w:tr>
      <w:tr w14:paraId="41DC48C1">
        <w:tblPrEx>
          <w:tblCellMar>
            <w:top w:w="0" w:type="dxa"/>
            <w:left w:w="108" w:type="dxa"/>
            <w:bottom w:w="0" w:type="dxa"/>
            <w:right w:w="108" w:type="dxa"/>
          </w:tblCellMar>
        </w:tblPrEx>
        <w:trPr>
          <w:trHeight w:val="283" w:hRule="atLeast"/>
        </w:trPr>
        <w:tc>
          <w:tcPr>
            <w:tcW w:w="1006" w:type="dxa"/>
            <w:vMerge w:val="continue"/>
            <w:tcBorders>
              <w:top w:val="nil"/>
              <w:left w:val="single" w:color="000000" w:sz="4" w:space="0"/>
              <w:bottom w:val="single" w:color="000000" w:sz="4" w:space="0"/>
              <w:right w:val="single" w:color="000000" w:sz="4" w:space="0"/>
            </w:tcBorders>
            <w:noWrap w:val="0"/>
            <w:vAlign w:val="center"/>
          </w:tcPr>
          <w:p w14:paraId="5DAEF4BC">
            <w:pPr>
              <w:keepNext w:val="0"/>
              <w:keepLines w:val="0"/>
              <w:pageBreakBefore w:val="0"/>
              <w:widowControl/>
              <w:kinsoku/>
              <w:wordWrap/>
              <w:overflowPunct/>
              <w:topLinePunct w:val="0"/>
              <w:autoSpaceDE/>
              <w:autoSpaceDN/>
              <w:bidi w:val="0"/>
              <w:adjustRightInd/>
              <w:snapToGrid/>
              <w:spacing w:line="590" w:lineRule="exact"/>
              <w:jc w:val="left"/>
              <w:textAlignment w:val="auto"/>
              <w:rPr>
                <w:rFonts w:eastAsia="仿宋_GB2312"/>
                <w:sz w:val="22"/>
                <w:szCs w:val="22"/>
              </w:rPr>
            </w:pPr>
          </w:p>
        </w:tc>
        <w:tc>
          <w:tcPr>
            <w:tcW w:w="1006" w:type="dxa"/>
            <w:vMerge w:val="continue"/>
            <w:tcBorders>
              <w:top w:val="nil"/>
              <w:left w:val="single" w:color="000000" w:sz="4" w:space="0"/>
              <w:bottom w:val="single" w:color="000000" w:sz="4" w:space="0"/>
              <w:right w:val="single" w:color="000000" w:sz="4" w:space="0"/>
            </w:tcBorders>
            <w:noWrap w:val="0"/>
            <w:vAlign w:val="center"/>
          </w:tcPr>
          <w:p w14:paraId="48622CC6">
            <w:pPr>
              <w:keepNext w:val="0"/>
              <w:keepLines w:val="0"/>
              <w:pageBreakBefore w:val="0"/>
              <w:widowControl/>
              <w:kinsoku/>
              <w:wordWrap/>
              <w:overflowPunct/>
              <w:topLinePunct w:val="0"/>
              <w:autoSpaceDE/>
              <w:autoSpaceDN/>
              <w:bidi w:val="0"/>
              <w:adjustRightInd/>
              <w:snapToGrid/>
              <w:spacing w:line="590" w:lineRule="exact"/>
              <w:jc w:val="left"/>
              <w:textAlignment w:val="auto"/>
              <w:rPr>
                <w:rFonts w:eastAsia="仿宋_GB2312"/>
                <w:sz w:val="22"/>
                <w:szCs w:val="22"/>
              </w:rPr>
            </w:pPr>
          </w:p>
        </w:tc>
        <w:tc>
          <w:tcPr>
            <w:tcW w:w="2330" w:type="dxa"/>
            <w:tcBorders>
              <w:top w:val="nil"/>
              <w:left w:val="nil"/>
              <w:bottom w:val="single" w:color="000000" w:sz="4" w:space="0"/>
              <w:right w:val="single" w:color="000000" w:sz="4" w:space="0"/>
            </w:tcBorders>
            <w:noWrap/>
            <w:vAlign w:val="center"/>
          </w:tcPr>
          <w:p w14:paraId="65AE8092">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灰河乡灰河村</w:t>
            </w:r>
          </w:p>
        </w:tc>
        <w:tc>
          <w:tcPr>
            <w:tcW w:w="1789" w:type="dxa"/>
            <w:tcBorders>
              <w:top w:val="nil"/>
              <w:left w:val="nil"/>
              <w:bottom w:val="single" w:color="000000" w:sz="4" w:space="0"/>
              <w:right w:val="single" w:color="000000" w:sz="4" w:space="0"/>
            </w:tcBorders>
            <w:noWrap/>
            <w:vAlign w:val="center"/>
          </w:tcPr>
          <w:p w14:paraId="70335097">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160</w:t>
            </w:r>
          </w:p>
        </w:tc>
        <w:tc>
          <w:tcPr>
            <w:tcW w:w="1771" w:type="dxa"/>
            <w:tcBorders>
              <w:top w:val="nil"/>
              <w:left w:val="nil"/>
              <w:bottom w:val="single" w:color="000000" w:sz="4" w:space="0"/>
              <w:right w:val="single" w:color="000000" w:sz="4" w:space="0"/>
            </w:tcBorders>
            <w:noWrap/>
            <w:vAlign w:val="center"/>
          </w:tcPr>
          <w:p w14:paraId="19C8CAC1">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1.6</w:t>
            </w:r>
          </w:p>
        </w:tc>
        <w:tc>
          <w:tcPr>
            <w:tcW w:w="1603" w:type="dxa"/>
            <w:tcBorders>
              <w:top w:val="nil"/>
              <w:left w:val="nil"/>
              <w:bottom w:val="single" w:color="000000" w:sz="4" w:space="0"/>
              <w:right w:val="single" w:color="000000" w:sz="4" w:space="0"/>
            </w:tcBorders>
            <w:noWrap/>
            <w:vAlign w:val="center"/>
          </w:tcPr>
          <w:p w14:paraId="2772928C">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10.1334</w:t>
            </w:r>
          </w:p>
        </w:tc>
        <w:tc>
          <w:tcPr>
            <w:tcW w:w="1734" w:type="dxa"/>
            <w:tcBorders>
              <w:top w:val="nil"/>
              <w:left w:val="nil"/>
              <w:bottom w:val="single" w:color="000000" w:sz="4" w:space="0"/>
              <w:right w:val="single" w:color="000000" w:sz="4" w:space="0"/>
            </w:tcBorders>
            <w:noWrap/>
            <w:vAlign w:val="center"/>
          </w:tcPr>
          <w:p w14:paraId="11752DB1">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20.2666</w:t>
            </w:r>
          </w:p>
        </w:tc>
        <w:tc>
          <w:tcPr>
            <w:tcW w:w="1398" w:type="dxa"/>
            <w:tcBorders>
              <w:top w:val="nil"/>
              <w:left w:val="nil"/>
              <w:bottom w:val="single" w:color="000000" w:sz="4" w:space="0"/>
              <w:right w:val="single" w:color="000000" w:sz="4" w:space="0"/>
            </w:tcBorders>
            <w:noWrap/>
            <w:vAlign w:val="center"/>
          </w:tcPr>
          <w:p w14:paraId="56C2D89C">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32</w:t>
            </w:r>
          </w:p>
        </w:tc>
      </w:tr>
      <w:tr w14:paraId="50FC5DD8">
        <w:tblPrEx>
          <w:tblCellMar>
            <w:top w:w="0" w:type="dxa"/>
            <w:left w:w="108" w:type="dxa"/>
            <w:bottom w:w="0" w:type="dxa"/>
            <w:right w:w="108" w:type="dxa"/>
          </w:tblCellMar>
        </w:tblPrEx>
        <w:trPr>
          <w:trHeight w:val="283" w:hRule="atLeast"/>
        </w:trPr>
        <w:tc>
          <w:tcPr>
            <w:tcW w:w="1006" w:type="dxa"/>
            <w:vMerge w:val="continue"/>
            <w:tcBorders>
              <w:top w:val="nil"/>
              <w:left w:val="single" w:color="000000" w:sz="4" w:space="0"/>
              <w:bottom w:val="single" w:color="000000" w:sz="4" w:space="0"/>
              <w:right w:val="single" w:color="000000" w:sz="4" w:space="0"/>
            </w:tcBorders>
            <w:noWrap w:val="0"/>
            <w:vAlign w:val="center"/>
          </w:tcPr>
          <w:p w14:paraId="65EE856D">
            <w:pPr>
              <w:keepNext w:val="0"/>
              <w:keepLines w:val="0"/>
              <w:pageBreakBefore w:val="0"/>
              <w:widowControl/>
              <w:kinsoku/>
              <w:wordWrap/>
              <w:overflowPunct/>
              <w:topLinePunct w:val="0"/>
              <w:autoSpaceDE/>
              <w:autoSpaceDN/>
              <w:bidi w:val="0"/>
              <w:adjustRightInd/>
              <w:snapToGrid/>
              <w:spacing w:line="590" w:lineRule="exact"/>
              <w:jc w:val="left"/>
              <w:textAlignment w:val="auto"/>
              <w:rPr>
                <w:rFonts w:eastAsia="仿宋_GB2312"/>
                <w:sz w:val="22"/>
                <w:szCs w:val="22"/>
              </w:rPr>
            </w:pPr>
          </w:p>
        </w:tc>
        <w:tc>
          <w:tcPr>
            <w:tcW w:w="1006" w:type="dxa"/>
            <w:vMerge w:val="continue"/>
            <w:tcBorders>
              <w:top w:val="nil"/>
              <w:left w:val="single" w:color="000000" w:sz="4" w:space="0"/>
              <w:bottom w:val="single" w:color="000000" w:sz="4" w:space="0"/>
              <w:right w:val="single" w:color="000000" w:sz="4" w:space="0"/>
            </w:tcBorders>
            <w:noWrap w:val="0"/>
            <w:vAlign w:val="center"/>
          </w:tcPr>
          <w:p w14:paraId="29415EBC">
            <w:pPr>
              <w:keepNext w:val="0"/>
              <w:keepLines w:val="0"/>
              <w:pageBreakBefore w:val="0"/>
              <w:widowControl/>
              <w:kinsoku/>
              <w:wordWrap/>
              <w:overflowPunct/>
              <w:topLinePunct w:val="0"/>
              <w:autoSpaceDE/>
              <w:autoSpaceDN/>
              <w:bidi w:val="0"/>
              <w:adjustRightInd/>
              <w:snapToGrid/>
              <w:spacing w:line="590" w:lineRule="exact"/>
              <w:jc w:val="left"/>
              <w:textAlignment w:val="auto"/>
              <w:rPr>
                <w:rFonts w:eastAsia="仿宋_GB2312"/>
                <w:sz w:val="22"/>
                <w:szCs w:val="22"/>
              </w:rPr>
            </w:pPr>
          </w:p>
        </w:tc>
        <w:tc>
          <w:tcPr>
            <w:tcW w:w="2330" w:type="dxa"/>
            <w:tcBorders>
              <w:top w:val="nil"/>
              <w:left w:val="nil"/>
              <w:bottom w:val="single" w:color="000000" w:sz="4" w:space="0"/>
              <w:right w:val="single" w:color="000000" w:sz="4" w:space="0"/>
            </w:tcBorders>
            <w:noWrap/>
            <w:vAlign w:val="center"/>
          </w:tcPr>
          <w:p w14:paraId="17F1B2EA">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灰河乡东风村</w:t>
            </w:r>
          </w:p>
        </w:tc>
        <w:tc>
          <w:tcPr>
            <w:tcW w:w="1789" w:type="dxa"/>
            <w:tcBorders>
              <w:top w:val="nil"/>
              <w:left w:val="nil"/>
              <w:bottom w:val="single" w:color="000000" w:sz="4" w:space="0"/>
              <w:right w:val="single" w:color="000000" w:sz="4" w:space="0"/>
            </w:tcBorders>
            <w:noWrap/>
            <w:vAlign w:val="center"/>
          </w:tcPr>
          <w:p w14:paraId="76B9927F">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375</w:t>
            </w:r>
          </w:p>
        </w:tc>
        <w:tc>
          <w:tcPr>
            <w:tcW w:w="1771" w:type="dxa"/>
            <w:tcBorders>
              <w:top w:val="nil"/>
              <w:left w:val="nil"/>
              <w:bottom w:val="single" w:color="000000" w:sz="4" w:space="0"/>
              <w:right w:val="single" w:color="000000" w:sz="4" w:space="0"/>
            </w:tcBorders>
            <w:noWrap/>
            <w:vAlign w:val="center"/>
          </w:tcPr>
          <w:p w14:paraId="0CEBCB3B">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3.75</w:t>
            </w:r>
          </w:p>
        </w:tc>
        <w:tc>
          <w:tcPr>
            <w:tcW w:w="1603" w:type="dxa"/>
            <w:tcBorders>
              <w:top w:val="nil"/>
              <w:left w:val="nil"/>
              <w:bottom w:val="single" w:color="000000" w:sz="4" w:space="0"/>
              <w:right w:val="single" w:color="000000" w:sz="4" w:space="0"/>
            </w:tcBorders>
            <w:noWrap/>
            <w:vAlign w:val="center"/>
          </w:tcPr>
          <w:p w14:paraId="773E8EC4">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23.75</w:t>
            </w:r>
          </w:p>
        </w:tc>
        <w:tc>
          <w:tcPr>
            <w:tcW w:w="1734" w:type="dxa"/>
            <w:tcBorders>
              <w:top w:val="nil"/>
              <w:left w:val="nil"/>
              <w:bottom w:val="single" w:color="000000" w:sz="4" w:space="0"/>
              <w:right w:val="single" w:color="000000" w:sz="4" w:space="0"/>
            </w:tcBorders>
            <w:noWrap/>
            <w:vAlign w:val="center"/>
          </w:tcPr>
          <w:p w14:paraId="3A05FB9F">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47.5</w:t>
            </w:r>
          </w:p>
        </w:tc>
        <w:tc>
          <w:tcPr>
            <w:tcW w:w="1398" w:type="dxa"/>
            <w:tcBorders>
              <w:top w:val="nil"/>
              <w:left w:val="nil"/>
              <w:bottom w:val="single" w:color="000000" w:sz="4" w:space="0"/>
              <w:right w:val="single" w:color="000000" w:sz="4" w:space="0"/>
            </w:tcBorders>
            <w:noWrap/>
            <w:vAlign w:val="center"/>
          </w:tcPr>
          <w:p w14:paraId="5DC8E808">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75</w:t>
            </w:r>
          </w:p>
        </w:tc>
      </w:tr>
      <w:tr w14:paraId="2F41D1A9">
        <w:tblPrEx>
          <w:tblCellMar>
            <w:top w:w="0" w:type="dxa"/>
            <w:left w:w="108" w:type="dxa"/>
            <w:bottom w:w="0" w:type="dxa"/>
            <w:right w:w="108" w:type="dxa"/>
          </w:tblCellMar>
        </w:tblPrEx>
        <w:trPr>
          <w:trHeight w:val="283" w:hRule="atLeast"/>
        </w:trPr>
        <w:tc>
          <w:tcPr>
            <w:tcW w:w="1006" w:type="dxa"/>
            <w:vMerge w:val="continue"/>
            <w:tcBorders>
              <w:top w:val="nil"/>
              <w:left w:val="single" w:color="000000" w:sz="4" w:space="0"/>
              <w:bottom w:val="single" w:color="000000" w:sz="4" w:space="0"/>
              <w:right w:val="single" w:color="000000" w:sz="4" w:space="0"/>
            </w:tcBorders>
            <w:noWrap w:val="0"/>
            <w:vAlign w:val="center"/>
          </w:tcPr>
          <w:p w14:paraId="4ED1CFCF">
            <w:pPr>
              <w:keepNext w:val="0"/>
              <w:keepLines w:val="0"/>
              <w:pageBreakBefore w:val="0"/>
              <w:widowControl/>
              <w:kinsoku/>
              <w:wordWrap/>
              <w:overflowPunct/>
              <w:topLinePunct w:val="0"/>
              <w:autoSpaceDE/>
              <w:autoSpaceDN/>
              <w:bidi w:val="0"/>
              <w:adjustRightInd/>
              <w:snapToGrid/>
              <w:spacing w:line="590" w:lineRule="exact"/>
              <w:jc w:val="left"/>
              <w:textAlignment w:val="auto"/>
              <w:rPr>
                <w:rFonts w:eastAsia="仿宋_GB2312"/>
                <w:sz w:val="22"/>
                <w:szCs w:val="22"/>
              </w:rPr>
            </w:pPr>
          </w:p>
        </w:tc>
        <w:tc>
          <w:tcPr>
            <w:tcW w:w="1006" w:type="dxa"/>
            <w:vMerge w:val="continue"/>
            <w:tcBorders>
              <w:top w:val="nil"/>
              <w:left w:val="single" w:color="000000" w:sz="4" w:space="0"/>
              <w:bottom w:val="single" w:color="000000" w:sz="4" w:space="0"/>
              <w:right w:val="single" w:color="000000" w:sz="4" w:space="0"/>
            </w:tcBorders>
            <w:noWrap w:val="0"/>
            <w:vAlign w:val="center"/>
          </w:tcPr>
          <w:p w14:paraId="3F9D648A">
            <w:pPr>
              <w:keepNext w:val="0"/>
              <w:keepLines w:val="0"/>
              <w:pageBreakBefore w:val="0"/>
              <w:widowControl/>
              <w:kinsoku/>
              <w:wordWrap/>
              <w:overflowPunct/>
              <w:topLinePunct w:val="0"/>
              <w:autoSpaceDE/>
              <w:autoSpaceDN/>
              <w:bidi w:val="0"/>
              <w:adjustRightInd/>
              <w:snapToGrid/>
              <w:spacing w:line="590" w:lineRule="exact"/>
              <w:jc w:val="left"/>
              <w:textAlignment w:val="auto"/>
              <w:rPr>
                <w:rFonts w:eastAsia="仿宋_GB2312"/>
                <w:sz w:val="22"/>
                <w:szCs w:val="22"/>
              </w:rPr>
            </w:pPr>
          </w:p>
        </w:tc>
        <w:tc>
          <w:tcPr>
            <w:tcW w:w="2330" w:type="dxa"/>
            <w:tcBorders>
              <w:top w:val="nil"/>
              <w:left w:val="nil"/>
              <w:bottom w:val="single" w:color="000000" w:sz="4" w:space="0"/>
              <w:right w:val="single" w:color="000000" w:sz="4" w:space="0"/>
            </w:tcBorders>
            <w:noWrap/>
            <w:vAlign w:val="center"/>
          </w:tcPr>
          <w:p w14:paraId="616033E0">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大通镇新建村</w:t>
            </w:r>
          </w:p>
        </w:tc>
        <w:tc>
          <w:tcPr>
            <w:tcW w:w="1789" w:type="dxa"/>
            <w:tcBorders>
              <w:top w:val="nil"/>
              <w:left w:val="nil"/>
              <w:bottom w:val="single" w:color="000000" w:sz="4" w:space="0"/>
              <w:right w:val="single" w:color="000000" w:sz="4" w:space="0"/>
            </w:tcBorders>
            <w:noWrap/>
            <w:vAlign w:val="center"/>
          </w:tcPr>
          <w:p w14:paraId="4F267E5A">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0</w:t>
            </w:r>
          </w:p>
        </w:tc>
        <w:tc>
          <w:tcPr>
            <w:tcW w:w="1771" w:type="dxa"/>
            <w:tcBorders>
              <w:top w:val="nil"/>
              <w:left w:val="nil"/>
              <w:bottom w:val="single" w:color="000000" w:sz="4" w:space="0"/>
              <w:right w:val="single" w:color="000000" w:sz="4" w:space="0"/>
            </w:tcBorders>
            <w:noWrap/>
            <w:vAlign w:val="center"/>
          </w:tcPr>
          <w:p w14:paraId="155AD636">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0</w:t>
            </w:r>
          </w:p>
        </w:tc>
        <w:tc>
          <w:tcPr>
            <w:tcW w:w="1603" w:type="dxa"/>
            <w:tcBorders>
              <w:top w:val="nil"/>
              <w:left w:val="nil"/>
              <w:bottom w:val="single" w:color="000000" w:sz="4" w:space="0"/>
              <w:right w:val="single" w:color="000000" w:sz="4" w:space="0"/>
            </w:tcBorders>
            <w:noWrap/>
            <w:vAlign w:val="center"/>
          </w:tcPr>
          <w:p w14:paraId="1FCB013A">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0</w:t>
            </w:r>
          </w:p>
        </w:tc>
        <w:tc>
          <w:tcPr>
            <w:tcW w:w="1734" w:type="dxa"/>
            <w:tcBorders>
              <w:top w:val="nil"/>
              <w:left w:val="nil"/>
              <w:bottom w:val="single" w:color="000000" w:sz="4" w:space="0"/>
              <w:right w:val="single" w:color="000000" w:sz="4" w:space="0"/>
            </w:tcBorders>
            <w:noWrap/>
            <w:vAlign w:val="center"/>
          </w:tcPr>
          <w:p w14:paraId="381596EE">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0</w:t>
            </w:r>
          </w:p>
        </w:tc>
        <w:tc>
          <w:tcPr>
            <w:tcW w:w="1398" w:type="dxa"/>
            <w:tcBorders>
              <w:top w:val="nil"/>
              <w:left w:val="nil"/>
              <w:bottom w:val="single" w:color="000000" w:sz="4" w:space="0"/>
              <w:right w:val="single" w:color="000000" w:sz="4" w:space="0"/>
            </w:tcBorders>
            <w:noWrap/>
            <w:vAlign w:val="center"/>
          </w:tcPr>
          <w:p w14:paraId="58E17802">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0</w:t>
            </w:r>
          </w:p>
        </w:tc>
      </w:tr>
      <w:tr w14:paraId="2E2D186C">
        <w:tblPrEx>
          <w:tblCellMar>
            <w:top w:w="0" w:type="dxa"/>
            <w:left w:w="108" w:type="dxa"/>
            <w:bottom w:w="0" w:type="dxa"/>
            <w:right w:w="108" w:type="dxa"/>
          </w:tblCellMar>
        </w:tblPrEx>
        <w:trPr>
          <w:trHeight w:val="283" w:hRule="atLeast"/>
        </w:trPr>
        <w:tc>
          <w:tcPr>
            <w:tcW w:w="1006" w:type="dxa"/>
            <w:vMerge w:val="continue"/>
            <w:tcBorders>
              <w:top w:val="nil"/>
              <w:left w:val="single" w:color="000000" w:sz="4" w:space="0"/>
              <w:bottom w:val="single" w:color="000000" w:sz="4" w:space="0"/>
              <w:right w:val="single" w:color="000000" w:sz="4" w:space="0"/>
            </w:tcBorders>
            <w:noWrap w:val="0"/>
            <w:vAlign w:val="center"/>
          </w:tcPr>
          <w:p w14:paraId="039E2718">
            <w:pPr>
              <w:keepNext w:val="0"/>
              <w:keepLines w:val="0"/>
              <w:pageBreakBefore w:val="0"/>
              <w:widowControl/>
              <w:kinsoku/>
              <w:wordWrap/>
              <w:overflowPunct/>
              <w:topLinePunct w:val="0"/>
              <w:autoSpaceDE/>
              <w:autoSpaceDN/>
              <w:bidi w:val="0"/>
              <w:adjustRightInd/>
              <w:snapToGrid/>
              <w:spacing w:line="590" w:lineRule="exact"/>
              <w:jc w:val="left"/>
              <w:textAlignment w:val="auto"/>
              <w:rPr>
                <w:rFonts w:eastAsia="仿宋_GB2312"/>
                <w:sz w:val="22"/>
                <w:szCs w:val="22"/>
              </w:rPr>
            </w:pPr>
          </w:p>
        </w:tc>
        <w:tc>
          <w:tcPr>
            <w:tcW w:w="1006" w:type="dxa"/>
            <w:vMerge w:val="continue"/>
            <w:tcBorders>
              <w:top w:val="nil"/>
              <w:left w:val="single" w:color="000000" w:sz="4" w:space="0"/>
              <w:bottom w:val="single" w:color="000000" w:sz="4" w:space="0"/>
              <w:right w:val="single" w:color="000000" w:sz="4" w:space="0"/>
            </w:tcBorders>
            <w:noWrap w:val="0"/>
            <w:vAlign w:val="center"/>
          </w:tcPr>
          <w:p w14:paraId="4769050B">
            <w:pPr>
              <w:keepNext w:val="0"/>
              <w:keepLines w:val="0"/>
              <w:pageBreakBefore w:val="0"/>
              <w:widowControl/>
              <w:kinsoku/>
              <w:wordWrap/>
              <w:overflowPunct/>
              <w:topLinePunct w:val="0"/>
              <w:autoSpaceDE/>
              <w:autoSpaceDN/>
              <w:bidi w:val="0"/>
              <w:adjustRightInd/>
              <w:snapToGrid/>
              <w:spacing w:line="590" w:lineRule="exact"/>
              <w:jc w:val="left"/>
              <w:textAlignment w:val="auto"/>
              <w:rPr>
                <w:rFonts w:eastAsia="仿宋_GB2312"/>
                <w:sz w:val="22"/>
                <w:szCs w:val="22"/>
              </w:rPr>
            </w:pPr>
          </w:p>
        </w:tc>
        <w:tc>
          <w:tcPr>
            <w:tcW w:w="2330" w:type="dxa"/>
            <w:tcBorders>
              <w:top w:val="nil"/>
              <w:left w:val="nil"/>
              <w:bottom w:val="nil"/>
              <w:right w:val="single" w:color="000000" w:sz="4" w:space="0"/>
            </w:tcBorders>
            <w:noWrap/>
            <w:vAlign w:val="center"/>
          </w:tcPr>
          <w:p w14:paraId="50C381D1">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大通镇新一村</w:t>
            </w:r>
          </w:p>
        </w:tc>
        <w:tc>
          <w:tcPr>
            <w:tcW w:w="1789" w:type="dxa"/>
            <w:tcBorders>
              <w:top w:val="nil"/>
              <w:left w:val="nil"/>
              <w:bottom w:val="nil"/>
              <w:right w:val="single" w:color="000000" w:sz="4" w:space="0"/>
            </w:tcBorders>
            <w:noWrap/>
            <w:vAlign w:val="center"/>
          </w:tcPr>
          <w:p w14:paraId="2C191FF3">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0</w:t>
            </w:r>
          </w:p>
        </w:tc>
        <w:tc>
          <w:tcPr>
            <w:tcW w:w="1771" w:type="dxa"/>
            <w:tcBorders>
              <w:top w:val="nil"/>
              <w:left w:val="nil"/>
              <w:bottom w:val="nil"/>
              <w:right w:val="single" w:color="000000" w:sz="4" w:space="0"/>
            </w:tcBorders>
            <w:noWrap/>
            <w:vAlign w:val="center"/>
          </w:tcPr>
          <w:p w14:paraId="72FD4A3C">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0</w:t>
            </w:r>
          </w:p>
        </w:tc>
        <w:tc>
          <w:tcPr>
            <w:tcW w:w="1603" w:type="dxa"/>
            <w:tcBorders>
              <w:top w:val="nil"/>
              <w:left w:val="nil"/>
              <w:bottom w:val="nil"/>
              <w:right w:val="single" w:color="000000" w:sz="4" w:space="0"/>
            </w:tcBorders>
            <w:noWrap/>
            <w:vAlign w:val="center"/>
          </w:tcPr>
          <w:p w14:paraId="6CDECD49">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0</w:t>
            </w:r>
          </w:p>
        </w:tc>
        <w:tc>
          <w:tcPr>
            <w:tcW w:w="1734" w:type="dxa"/>
            <w:tcBorders>
              <w:top w:val="nil"/>
              <w:left w:val="nil"/>
              <w:bottom w:val="nil"/>
              <w:right w:val="single" w:color="000000" w:sz="4" w:space="0"/>
            </w:tcBorders>
            <w:noWrap/>
            <w:vAlign w:val="center"/>
          </w:tcPr>
          <w:p w14:paraId="4F7EA651">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0</w:t>
            </w:r>
          </w:p>
        </w:tc>
        <w:tc>
          <w:tcPr>
            <w:tcW w:w="1398" w:type="dxa"/>
            <w:tcBorders>
              <w:top w:val="nil"/>
              <w:left w:val="nil"/>
              <w:bottom w:val="nil"/>
              <w:right w:val="single" w:color="000000" w:sz="4" w:space="0"/>
            </w:tcBorders>
            <w:noWrap/>
            <w:vAlign w:val="center"/>
          </w:tcPr>
          <w:p w14:paraId="47CD94CC">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0</w:t>
            </w:r>
          </w:p>
        </w:tc>
      </w:tr>
      <w:tr w14:paraId="25E2F9C6">
        <w:tblPrEx>
          <w:tblCellMar>
            <w:top w:w="0" w:type="dxa"/>
            <w:left w:w="108" w:type="dxa"/>
            <w:bottom w:w="0" w:type="dxa"/>
            <w:right w:w="108" w:type="dxa"/>
          </w:tblCellMar>
        </w:tblPrEx>
        <w:trPr>
          <w:trHeight w:val="283" w:hRule="atLeast"/>
        </w:trPr>
        <w:tc>
          <w:tcPr>
            <w:tcW w:w="1006" w:type="dxa"/>
            <w:vMerge w:val="restart"/>
            <w:tcBorders>
              <w:top w:val="nil"/>
              <w:left w:val="single" w:color="000000" w:sz="4" w:space="0"/>
              <w:bottom w:val="single" w:color="000000" w:sz="4" w:space="0"/>
              <w:right w:val="single" w:color="000000" w:sz="4" w:space="0"/>
            </w:tcBorders>
            <w:noWrap/>
            <w:vAlign w:val="center"/>
          </w:tcPr>
          <w:p w14:paraId="660258E5">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2020</w:t>
            </w:r>
          </w:p>
        </w:tc>
        <w:tc>
          <w:tcPr>
            <w:tcW w:w="1006" w:type="dxa"/>
            <w:vMerge w:val="restart"/>
            <w:tcBorders>
              <w:top w:val="nil"/>
              <w:left w:val="single" w:color="000000" w:sz="4" w:space="0"/>
              <w:bottom w:val="single" w:color="000000" w:sz="4" w:space="0"/>
              <w:right w:val="single" w:color="000000" w:sz="4" w:space="0"/>
            </w:tcBorders>
            <w:noWrap/>
            <w:vAlign w:val="center"/>
          </w:tcPr>
          <w:p w14:paraId="5E0F8BA2">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615座</w:t>
            </w:r>
          </w:p>
        </w:tc>
        <w:tc>
          <w:tcPr>
            <w:tcW w:w="2330" w:type="dxa"/>
            <w:tcBorders>
              <w:top w:val="single" w:color="000000" w:sz="4" w:space="0"/>
              <w:left w:val="nil"/>
              <w:bottom w:val="single" w:color="000000" w:sz="4" w:space="0"/>
              <w:right w:val="single" w:color="000000" w:sz="4" w:space="0"/>
            </w:tcBorders>
            <w:noWrap/>
            <w:vAlign w:val="center"/>
          </w:tcPr>
          <w:p w14:paraId="62EBAABD">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铜山镇显化村</w:t>
            </w:r>
          </w:p>
        </w:tc>
        <w:tc>
          <w:tcPr>
            <w:tcW w:w="1789" w:type="dxa"/>
            <w:tcBorders>
              <w:top w:val="single" w:color="000000" w:sz="4" w:space="0"/>
              <w:left w:val="nil"/>
              <w:bottom w:val="single" w:color="000000" w:sz="4" w:space="0"/>
              <w:right w:val="single" w:color="000000" w:sz="4" w:space="0"/>
            </w:tcBorders>
            <w:noWrap/>
            <w:vAlign w:val="center"/>
          </w:tcPr>
          <w:p w14:paraId="647153D8">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425</w:t>
            </w:r>
          </w:p>
        </w:tc>
        <w:tc>
          <w:tcPr>
            <w:tcW w:w="1771" w:type="dxa"/>
            <w:tcBorders>
              <w:top w:val="single" w:color="000000" w:sz="4" w:space="0"/>
              <w:left w:val="nil"/>
              <w:bottom w:val="single" w:color="000000" w:sz="4" w:space="0"/>
              <w:right w:val="single" w:color="000000" w:sz="4" w:space="0"/>
            </w:tcBorders>
            <w:noWrap/>
            <w:vAlign w:val="center"/>
          </w:tcPr>
          <w:p w14:paraId="56D9CCA6">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4.25</w:t>
            </w:r>
          </w:p>
        </w:tc>
        <w:tc>
          <w:tcPr>
            <w:tcW w:w="1603" w:type="dxa"/>
            <w:tcBorders>
              <w:top w:val="single" w:color="000000" w:sz="4" w:space="0"/>
              <w:left w:val="nil"/>
              <w:bottom w:val="single" w:color="000000" w:sz="4" w:space="0"/>
              <w:right w:val="single" w:color="000000" w:sz="4" w:space="0"/>
            </w:tcBorders>
            <w:noWrap/>
            <w:vAlign w:val="center"/>
          </w:tcPr>
          <w:p w14:paraId="296FC65B">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26.9167</w:t>
            </w:r>
          </w:p>
        </w:tc>
        <w:tc>
          <w:tcPr>
            <w:tcW w:w="1734" w:type="dxa"/>
            <w:tcBorders>
              <w:top w:val="single" w:color="000000" w:sz="4" w:space="0"/>
              <w:left w:val="nil"/>
              <w:bottom w:val="single" w:color="000000" w:sz="4" w:space="0"/>
              <w:right w:val="single" w:color="000000" w:sz="4" w:space="0"/>
            </w:tcBorders>
            <w:noWrap/>
            <w:vAlign w:val="center"/>
          </w:tcPr>
          <w:p w14:paraId="1AE4BED7">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53.8333</w:t>
            </w:r>
          </w:p>
        </w:tc>
        <w:tc>
          <w:tcPr>
            <w:tcW w:w="1398" w:type="dxa"/>
            <w:tcBorders>
              <w:top w:val="single" w:color="000000" w:sz="4" w:space="0"/>
              <w:left w:val="nil"/>
              <w:bottom w:val="single" w:color="000000" w:sz="4" w:space="0"/>
              <w:right w:val="single" w:color="000000" w:sz="4" w:space="0"/>
            </w:tcBorders>
            <w:noWrap/>
            <w:vAlign w:val="center"/>
          </w:tcPr>
          <w:p w14:paraId="487D57F2">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85</w:t>
            </w:r>
          </w:p>
        </w:tc>
      </w:tr>
      <w:tr w14:paraId="66480873">
        <w:tblPrEx>
          <w:tblCellMar>
            <w:top w:w="0" w:type="dxa"/>
            <w:left w:w="108" w:type="dxa"/>
            <w:bottom w:w="0" w:type="dxa"/>
            <w:right w:w="108" w:type="dxa"/>
          </w:tblCellMar>
        </w:tblPrEx>
        <w:trPr>
          <w:trHeight w:val="283" w:hRule="atLeast"/>
        </w:trPr>
        <w:tc>
          <w:tcPr>
            <w:tcW w:w="1006" w:type="dxa"/>
            <w:vMerge w:val="continue"/>
            <w:tcBorders>
              <w:top w:val="nil"/>
              <w:left w:val="single" w:color="000000" w:sz="4" w:space="0"/>
              <w:bottom w:val="single" w:color="000000" w:sz="4" w:space="0"/>
              <w:right w:val="single" w:color="000000" w:sz="4" w:space="0"/>
            </w:tcBorders>
            <w:noWrap w:val="0"/>
            <w:vAlign w:val="center"/>
          </w:tcPr>
          <w:p w14:paraId="14999D79">
            <w:pPr>
              <w:keepNext w:val="0"/>
              <w:keepLines w:val="0"/>
              <w:pageBreakBefore w:val="0"/>
              <w:widowControl/>
              <w:kinsoku/>
              <w:wordWrap/>
              <w:overflowPunct/>
              <w:topLinePunct w:val="0"/>
              <w:autoSpaceDE/>
              <w:autoSpaceDN/>
              <w:bidi w:val="0"/>
              <w:adjustRightInd/>
              <w:snapToGrid/>
              <w:spacing w:line="590" w:lineRule="exact"/>
              <w:jc w:val="left"/>
              <w:textAlignment w:val="auto"/>
              <w:rPr>
                <w:rFonts w:eastAsia="仿宋_GB2312"/>
                <w:sz w:val="22"/>
                <w:szCs w:val="22"/>
              </w:rPr>
            </w:pPr>
          </w:p>
        </w:tc>
        <w:tc>
          <w:tcPr>
            <w:tcW w:w="1006" w:type="dxa"/>
            <w:vMerge w:val="continue"/>
            <w:tcBorders>
              <w:top w:val="nil"/>
              <w:left w:val="single" w:color="000000" w:sz="4" w:space="0"/>
              <w:bottom w:val="single" w:color="000000" w:sz="4" w:space="0"/>
              <w:right w:val="single" w:color="000000" w:sz="4" w:space="0"/>
            </w:tcBorders>
            <w:noWrap w:val="0"/>
            <w:vAlign w:val="center"/>
          </w:tcPr>
          <w:p w14:paraId="134FCBBF">
            <w:pPr>
              <w:keepNext w:val="0"/>
              <w:keepLines w:val="0"/>
              <w:pageBreakBefore w:val="0"/>
              <w:widowControl/>
              <w:kinsoku/>
              <w:wordWrap/>
              <w:overflowPunct/>
              <w:topLinePunct w:val="0"/>
              <w:autoSpaceDE/>
              <w:autoSpaceDN/>
              <w:bidi w:val="0"/>
              <w:adjustRightInd/>
              <w:snapToGrid/>
              <w:spacing w:line="590" w:lineRule="exact"/>
              <w:jc w:val="left"/>
              <w:textAlignment w:val="auto"/>
              <w:rPr>
                <w:rFonts w:eastAsia="仿宋_GB2312"/>
                <w:sz w:val="22"/>
                <w:szCs w:val="22"/>
              </w:rPr>
            </w:pPr>
          </w:p>
        </w:tc>
        <w:tc>
          <w:tcPr>
            <w:tcW w:w="2330" w:type="dxa"/>
            <w:tcBorders>
              <w:top w:val="nil"/>
              <w:left w:val="nil"/>
              <w:bottom w:val="single" w:color="000000" w:sz="4" w:space="0"/>
              <w:right w:val="single" w:color="000000" w:sz="4" w:space="0"/>
            </w:tcBorders>
            <w:noWrap/>
            <w:vAlign w:val="center"/>
          </w:tcPr>
          <w:p w14:paraId="2A3F917F">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安铜办牧岭村</w:t>
            </w:r>
          </w:p>
        </w:tc>
        <w:tc>
          <w:tcPr>
            <w:tcW w:w="1789" w:type="dxa"/>
            <w:tcBorders>
              <w:top w:val="nil"/>
              <w:left w:val="nil"/>
              <w:bottom w:val="single" w:color="000000" w:sz="4" w:space="0"/>
              <w:right w:val="single" w:color="000000" w:sz="4" w:space="0"/>
            </w:tcBorders>
            <w:noWrap/>
            <w:vAlign w:val="center"/>
          </w:tcPr>
          <w:p w14:paraId="195ADBFF">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46</w:t>
            </w:r>
          </w:p>
        </w:tc>
        <w:tc>
          <w:tcPr>
            <w:tcW w:w="1771" w:type="dxa"/>
            <w:tcBorders>
              <w:top w:val="nil"/>
              <w:left w:val="nil"/>
              <w:bottom w:val="single" w:color="000000" w:sz="4" w:space="0"/>
              <w:right w:val="single" w:color="000000" w:sz="4" w:space="0"/>
            </w:tcBorders>
            <w:noWrap/>
            <w:vAlign w:val="center"/>
          </w:tcPr>
          <w:p w14:paraId="3A814D1C">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0.46</w:t>
            </w:r>
          </w:p>
        </w:tc>
        <w:tc>
          <w:tcPr>
            <w:tcW w:w="1603" w:type="dxa"/>
            <w:tcBorders>
              <w:top w:val="nil"/>
              <w:left w:val="nil"/>
              <w:bottom w:val="single" w:color="000000" w:sz="4" w:space="0"/>
              <w:right w:val="single" w:color="000000" w:sz="4" w:space="0"/>
            </w:tcBorders>
            <w:noWrap/>
            <w:vAlign w:val="center"/>
          </w:tcPr>
          <w:p w14:paraId="42F135D1">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2.9134</w:t>
            </w:r>
          </w:p>
        </w:tc>
        <w:tc>
          <w:tcPr>
            <w:tcW w:w="1734" w:type="dxa"/>
            <w:tcBorders>
              <w:top w:val="nil"/>
              <w:left w:val="nil"/>
              <w:bottom w:val="single" w:color="000000" w:sz="4" w:space="0"/>
              <w:right w:val="single" w:color="000000" w:sz="4" w:space="0"/>
            </w:tcBorders>
            <w:noWrap/>
            <w:vAlign w:val="center"/>
          </w:tcPr>
          <w:p w14:paraId="471E3BC9">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5.8266</w:t>
            </w:r>
          </w:p>
        </w:tc>
        <w:tc>
          <w:tcPr>
            <w:tcW w:w="1398" w:type="dxa"/>
            <w:tcBorders>
              <w:top w:val="nil"/>
              <w:left w:val="nil"/>
              <w:bottom w:val="single" w:color="000000" w:sz="4" w:space="0"/>
              <w:right w:val="single" w:color="000000" w:sz="4" w:space="0"/>
            </w:tcBorders>
            <w:noWrap/>
            <w:vAlign w:val="center"/>
          </w:tcPr>
          <w:p w14:paraId="1211D79C">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9.2</w:t>
            </w:r>
          </w:p>
        </w:tc>
      </w:tr>
      <w:tr w14:paraId="30D7629D">
        <w:tblPrEx>
          <w:tblCellMar>
            <w:top w:w="0" w:type="dxa"/>
            <w:left w:w="108" w:type="dxa"/>
            <w:bottom w:w="0" w:type="dxa"/>
            <w:right w:w="108" w:type="dxa"/>
          </w:tblCellMar>
        </w:tblPrEx>
        <w:trPr>
          <w:trHeight w:val="283" w:hRule="atLeast"/>
        </w:trPr>
        <w:tc>
          <w:tcPr>
            <w:tcW w:w="1006" w:type="dxa"/>
            <w:vMerge w:val="continue"/>
            <w:tcBorders>
              <w:top w:val="nil"/>
              <w:left w:val="single" w:color="000000" w:sz="4" w:space="0"/>
              <w:bottom w:val="single" w:color="000000" w:sz="4" w:space="0"/>
              <w:right w:val="single" w:color="000000" w:sz="4" w:space="0"/>
            </w:tcBorders>
            <w:noWrap w:val="0"/>
            <w:vAlign w:val="center"/>
          </w:tcPr>
          <w:p w14:paraId="4603415F">
            <w:pPr>
              <w:keepNext w:val="0"/>
              <w:keepLines w:val="0"/>
              <w:pageBreakBefore w:val="0"/>
              <w:widowControl/>
              <w:kinsoku/>
              <w:wordWrap/>
              <w:overflowPunct/>
              <w:topLinePunct w:val="0"/>
              <w:autoSpaceDE/>
              <w:autoSpaceDN/>
              <w:bidi w:val="0"/>
              <w:adjustRightInd/>
              <w:snapToGrid/>
              <w:spacing w:line="590" w:lineRule="exact"/>
              <w:jc w:val="left"/>
              <w:textAlignment w:val="auto"/>
              <w:rPr>
                <w:rFonts w:eastAsia="仿宋_GB2312"/>
                <w:sz w:val="22"/>
                <w:szCs w:val="22"/>
              </w:rPr>
            </w:pPr>
          </w:p>
        </w:tc>
        <w:tc>
          <w:tcPr>
            <w:tcW w:w="1006" w:type="dxa"/>
            <w:vMerge w:val="continue"/>
            <w:tcBorders>
              <w:top w:val="nil"/>
              <w:left w:val="single" w:color="000000" w:sz="4" w:space="0"/>
              <w:bottom w:val="single" w:color="000000" w:sz="4" w:space="0"/>
              <w:right w:val="single" w:color="000000" w:sz="4" w:space="0"/>
            </w:tcBorders>
            <w:noWrap w:val="0"/>
            <w:vAlign w:val="center"/>
          </w:tcPr>
          <w:p w14:paraId="2BE79160">
            <w:pPr>
              <w:keepNext w:val="0"/>
              <w:keepLines w:val="0"/>
              <w:pageBreakBefore w:val="0"/>
              <w:widowControl/>
              <w:kinsoku/>
              <w:wordWrap/>
              <w:overflowPunct/>
              <w:topLinePunct w:val="0"/>
              <w:autoSpaceDE/>
              <w:autoSpaceDN/>
              <w:bidi w:val="0"/>
              <w:adjustRightInd/>
              <w:snapToGrid/>
              <w:spacing w:line="590" w:lineRule="exact"/>
              <w:jc w:val="left"/>
              <w:textAlignment w:val="auto"/>
              <w:rPr>
                <w:rFonts w:eastAsia="仿宋_GB2312"/>
                <w:sz w:val="22"/>
                <w:szCs w:val="22"/>
              </w:rPr>
            </w:pPr>
          </w:p>
        </w:tc>
        <w:tc>
          <w:tcPr>
            <w:tcW w:w="2330" w:type="dxa"/>
            <w:tcBorders>
              <w:top w:val="nil"/>
              <w:left w:val="nil"/>
              <w:bottom w:val="single" w:color="000000" w:sz="4" w:space="0"/>
              <w:right w:val="single" w:color="000000" w:sz="4" w:space="0"/>
            </w:tcBorders>
            <w:noWrap/>
            <w:vAlign w:val="center"/>
          </w:tcPr>
          <w:p w14:paraId="034E49CE">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灰河乡东园村</w:t>
            </w:r>
          </w:p>
        </w:tc>
        <w:tc>
          <w:tcPr>
            <w:tcW w:w="1789" w:type="dxa"/>
            <w:tcBorders>
              <w:top w:val="nil"/>
              <w:left w:val="nil"/>
              <w:bottom w:val="single" w:color="000000" w:sz="4" w:space="0"/>
              <w:right w:val="single" w:color="000000" w:sz="4" w:space="0"/>
            </w:tcBorders>
            <w:noWrap/>
            <w:vAlign w:val="center"/>
          </w:tcPr>
          <w:p w14:paraId="49F3088E">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80</w:t>
            </w:r>
          </w:p>
        </w:tc>
        <w:tc>
          <w:tcPr>
            <w:tcW w:w="1771" w:type="dxa"/>
            <w:tcBorders>
              <w:top w:val="nil"/>
              <w:left w:val="nil"/>
              <w:bottom w:val="single" w:color="000000" w:sz="4" w:space="0"/>
              <w:right w:val="single" w:color="000000" w:sz="4" w:space="0"/>
            </w:tcBorders>
            <w:noWrap/>
            <w:vAlign w:val="center"/>
          </w:tcPr>
          <w:p w14:paraId="2EAA9DB4">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0.8</w:t>
            </w:r>
          </w:p>
        </w:tc>
        <w:tc>
          <w:tcPr>
            <w:tcW w:w="1603" w:type="dxa"/>
            <w:tcBorders>
              <w:top w:val="nil"/>
              <w:left w:val="nil"/>
              <w:bottom w:val="single" w:color="000000" w:sz="4" w:space="0"/>
              <w:right w:val="single" w:color="000000" w:sz="4" w:space="0"/>
            </w:tcBorders>
            <w:noWrap/>
            <w:vAlign w:val="center"/>
          </w:tcPr>
          <w:p w14:paraId="4C372E22">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5.0667</w:t>
            </w:r>
          </w:p>
        </w:tc>
        <w:tc>
          <w:tcPr>
            <w:tcW w:w="1734" w:type="dxa"/>
            <w:tcBorders>
              <w:top w:val="nil"/>
              <w:left w:val="nil"/>
              <w:bottom w:val="single" w:color="000000" w:sz="4" w:space="0"/>
              <w:right w:val="single" w:color="000000" w:sz="4" w:space="0"/>
            </w:tcBorders>
            <w:noWrap/>
            <w:vAlign w:val="center"/>
          </w:tcPr>
          <w:p w14:paraId="114D8EAC">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10.1333</w:t>
            </w:r>
          </w:p>
        </w:tc>
        <w:tc>
          <w:tcPr>
            <w:tcW w:w="1398" w:type="dxa"/>
            <w:tcBorders>
              <w:top w:val="nil"/>
              <w:left w:val="nil"/>
              <w:bottom w:val="single" w:color="000000" w:sz="4" w:space="0"/>
              <w:right w:val="single" w:color="000000" w:sz="4" w:space="0"/>
            </w:tcBorders>
            <w:noWrap/>
            <w:vAlign w:val="center"/>
          </w:tcPr>
          <w:p w14:paraId="2B741BD9">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16</w:t>
            </w:r>
          </w:p>
        </w:tc>
      </w:tr>
      <w:tr w14:paraId="35861573">
        <w:tblPrEx>
          <w:tblCellMar>
            <w:top w:w="0" w:type="dxa"/>
            <w:left w:w="108" w:type="dxa"/>
            <w:bottom w:w="0" w:type="dxa"/>
            <w:right w:w="108" w:type="dxa"/>
          </w:tblCellMar>
        </w:tblPrEx>
        <w:trPr>
          <w:trHeight w:val="283" w:hRule="atLeast"/>
        </w:trPr>
        <w:tc>
          <w:tcPr>
            <w:tcW w:w="1006" w:type="dxa"/>
            <w:vMerge w:val="continue"/>
            <w:tcBorders>
              <w:top w:val="nil"/>
              <w:left w:val="single" w:color="000000" w:sz="4" w:space="0"/>
              <w:bottom w:val="single" w:color="000000" w:sz="4" w:space="0"/>
              <w:right w:val="single" w:color="000000" w:sz="4" w:space="0"/>
            </w:tcBorders>
            <w:noWrap w:val="0"/>
            <w:vAlign w:val="center"/>
          </w:tcPr>
          <w:p w14:paraId="2344B5CB">
            <w:pPr>
              <w:keepNext w:val="0"/>
              <w:keepLines w:val="0"/>
              <w:pageBreakBefore w:val="0"/>
              <w:widowControl/>
              <w:kinsoku/>
              <w:wordWrap/>
              <w:overflowPunct/>
              <w:topLinePunct w:val="0"/>
              <w:autoSpaceDE/>
              <w:autoSpaceDN/>
              <w:bidi w:val="0"/>
              <w:adjustRightInd/>
              <w:snapToGrid/>
              <w:spacing w:line="590" w:lineRule="exact"/>
              <w:jc w:val="left"/>
              <w:textAlignment w:val="auto"/>
              <w:rPr>
                <w:rFonts w:eastAsia="仿宋_GB2312"/>
                <w:sz w:val="22"/>
                <w:szCs w:val="22"/>
              </w:rPr>
            </w:pPr>
          </w:p>
        </w:tc>
        <w:tc>
          <w:tcPr>
            <w:tcW w:w="1006" w:type="dxa"/>
            <w:vMerge w:val="continue"/>
            <w:tcBorders>
              <w:top w:val="nil"/>
              <w:left w:val="single" w:color="000000" w:sz="4" w:space="0"/>
              <w:bottom w:val="single" w:color="000000" w:sz="4" w:space="0"/>
              <w:right w:val="single" w:color="000000" w:sz="4" w:space="0"/>
            </w:tcBorders>
            <w:noWrap w:val="0"/>
            <w:vAlign w:val="center"/>
          </w:tcPr>
          <w:p w14:paraId="5B9FDA2E">
            <w:pPr>
              <w:keepNext w:val="0"/>
              <w:keepLines w:val="0"/>
              <w:pageBreakBefore w:val="0"/>
              <w:widowControl/>
              <w:kinsoku/>
              <w:wordWrap/>
              <w:overflowPunct/>
              <w:topLinePunct w:val="0"/>
              <w:autoSpaceDE/>
              <w:autoSpaceDN/>
              <w:bidi w:val="0"/>
              <w:adjustRightInd/>
              <w:snapToGrid/>
              <w:spacing w:line="590" w:lineRule="exact"/>
              <w:jc w:val="left"/>
              <w:textAlignment w:val="auto"/>
              <w:rPr>
                <w:rFonts w:eastAsia="仿宋_GB2312"/>
                <w:sz w:val="22"/>
                <w:szCs w:val="22"/>
              </w:rPr>
            </w:pPr>
          </w:p>
        </w:tc>
        <w:tc>
          <w:tcPr>
            <w:tcW w:w="2330" w:type="dxa"/>
            <w:tcBorders>
              <w:top w:val="nil"/>
              <w:left w:val="nil"/>
              <w:bottom w:val="single" w:color="000000" w:sz="4" w:space="0"/>
              <w:right w:val="single" w:color="000000" w:sz="4" w:space="0"/>
            </w:tcBorders>
            <w:noWrap/>
            <w:vAlign w:val="center"/>
          </w:tcPr>
          <w:p w14:paraId="3078B1B6">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灰河乡五洲村</w:t>
            </w:r>
          </w:p>
        </w:tc>
        <w:tc>
          <w:tcPr>
            <w:tcW w:w="1789" w:type="dxa"/>
            <w:tcBorders>
              <w:top w:val="nil"/>
              <w:left w:val="nil"/>
              <w:bottom w:val="single" w:color="000000" w:sz="4" w:space="0"/>
              <w:right w:val="single" w:color="000000" w:sz="4" w:space="0"/>
            </w:tcBorders>
            <w:noWrap/>
            <w:vAlign w:val="center"/>
          </w:tcPr>
          <w:p w14:paraId="4BBEA01E">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64</w:t>
            </w:r>
          </w:p>
        </w:tc>
        <w:tc>
          <w:tcPr>
            <w:tcW w:w="1771" w:type="dxa"/>
            <w:tcBorders>
              <w:top w:val="nil"/>
              <w:left w:val="nil"/>
              <w:bottom w:val="single" w:color="000000" w:sz="4" w:space="0"/>
              <w:right w:val="single" w:color="000000" w:sz="4" w:space="0"/>
            </w:tcBorders>
            <w:noWrap/>
            <w:vAlign w:val="center"/>
          </w:tcPr>
          <w:p w14:paraId="371ECC62">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0.64</w:t>
            </w:r>
          </w:p>
        </w:tc>
        <w:tc>
          <w:tcPr>
            <w:tcW w:w="1603" w:type="dxa"/>
            <w:tcBorders>
              <w:top w:val="nil"/>
              <w:left w:val="nil"/>
              <w:bottom w:val="single" w:color="000000" w:sz="4" w:space="0"/>
              <w:right w:val="single" w:color="000000" w:sz="4" w:space="0"/>
            </w:tcBorders>
            <w:noWrap/>
            <w:vAlign w:val="center"/>
          </w:tcPr>
          <w:p w14:paraId="2B832565">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4.0534</w:t>
            </w:r>
          </w:p>
        </w:tc>
        <w:tc>
          <w:tcPr>
            <w:tcW w:w="1734" w:type="dxa"/>
            <w:tcBorders>
              <w:top w:val="nil"/>
              <w:left w:val="nil"/>
              <w:bottom w:val="single" w:color="000000" w:sz="4" w:space="0"/>
              <w:right w:val="single" w:color="000000" w:sz="4" w:space="0"/>
            </w:tcBorders>
            <w:noWrap/>
            <w:vAlign w:val="center"/>
          </w:tcPr>
          <w:p w14:paraId="67273F46">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8.1066</w:t>
            </w:r>
          </w:p>
        </w:tc>
        <w:tc>
          <w:tcPr>
            <w:tcW w:w="1398" w:type="dxa"/>
            <w:tcBorders>
              <w:top w:val="nil"/>
              <w:left w:val="nil"/>
              <w:bottom w:val="single" w:color="000000" w:sz="4" w:space="0"/>
              <w:right w:val="single" w:color="000000" w:sz="4" w:space="0"/>
            </w:tcBorders>
            <w:noWrap/>
            <w:vAlign w:val="center"/>
          </w:tcPr>
          <w:p w14:paraId="455E5DF3">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12.8</w:t>
            </w:r>
          </w:p>
        </w:tc>
      </w:tr>
      <w:tr w14:paraId="558C6720">
        <w:tblPrEx>
          <w:tblCellMar>
            <w:top w:w="0" w:type="dxa"/>
            <w:left w:w="108" w:type="dxa"/>
            <w:bottom w:w="0" w:type="dxa"/>
            <w:right w:w="108" w:type="dxa"/>
          </w:tblCellMar>
        </w:tblPrEx>
        <w:trPr>
          <w:trHeight w:val="283" w:hRule="atLeast"/>
        </w:trPr>
        <w:tc>
          <w:tcPr>
            <w:tcW w:w="1006" w:type="dxa"/>
            <w:vMerge w:val="continue"/>
            <w:tcBorders>
              <w:top w:val="nil"/>
              <w:left w:val="single" w:color="000000" w:sz="4" w:space="0"/>
              <w:bottom w:val="single" w:color="000000" w:sz="4" w:space="0"/>
              <w:right w:val="single" w:color="000000" w:sz="4" w:space="0"/>
            </w:tcBorders>
            <w:noWrap w:val="0"/>
            <w:vAlign w:val="center"/>
          </w:tcPr>
          <w:p w14:paraId="544505BF">
            <w:pPr>
              <w:keepNext w:val="0"/>
              <w:keepLines w:val="0"/>
              <w:pageBreakBefore w:val="0"/>
              <w:widowControl/>
              <w:kinsoku/>
              <w:wordWrap/>
              <w:overflowPunct/>
              <w:topLinePunct w:val="0"/>
              <w:autoSpaceDE/>
              <w:autoSpaceDN/>
              <w:bidi w:val="0"/>
              <w:adjustRightInd/>
              <w:snapToGrid/>
              <w:spacing w:line="590" w:lineRule="exact"/>
              <w:jc w:val="left"/>
              <w:textAlignment w:val="auto"/>
              <w:rPr>
                <w:rFonts w:eastAsia="仿宋_GB2312"/>
                <w:sz w:val="22"/>
                <w:szCs w:val="22"/>
              </w:rPr>
            </w:pPr>
          </w:p>
        </w:tc>
        <w:tc>
          <w:tcPr>
            <w:tcW w:w="1006" w:type="dxa"/>
            <w:vMerge w:val="continue"/>
            <w:tcBorders>
              <w:top w:val="nil"/>
              <w:left w:val="single" w:color="000000" w:sz="4" w:space="0"/>
              <w:bottom w:val="single" w:color="000000" w:sz="4" w:space="0"/>
              <w:right w:val="single" w:color="000000" w:sz="4" w:space="0"/>
            </w:tcBorders>
            <w:noWrap w:val="0"/>
            <w:vAlign w:val="center"/>
          </w:tcPr>
          <w:p w14:paraId="581F15B9">
            <w:pPr>
              <w:keepNext w:val="0"/>
              <w:keepLines w:val="0"/>
              <w:pageBreakBefore w:val="0"/>
              <w:widowControl/>
              <w:kinsoku/>
              <w:wordWrap/>
              <w:overflowPunct/>
              <w:topLinePunct w:val="0"/>
              <w:autoSpaceDE/>
              <w:autoSpaceDN/>
              <w:bidi w:val="0"/>
              <w:adjustRightInd/>
              <w:snapToGrid/>
              <w:spacing w:line="590" w:lineRule="exact"/>
              <w:jc w:val="left"/>
              <w:textAlignment w:val="auto"/>
              <w:rPr>
                <w:rFonts w:eastAsia="仿宋_GB2312"/>
                <w:sz w:val="22"/>
                <w:szCs w:val="22"/>
              </w:rPr>
            </w:pPr>
          </w:p>
        </w:tc>
        <w:tc>
          <w:tcPr>
            <w:tcW w:w="2330" w:type="dxa"/>
            <w:tcBorders>
              <w:top w:val="nil"/>
              <w:left w:val="nil"/>
              <w:bottom w:val="nil"/>
              <w:right w:val="single" w:color="000000" w:sz="4" w:space="0"/>
            </w:tcBorders>
            <w:noWrap/>
            <w:vAlign w:val="center"/>
          </w:tcPr>
          <w:p w14:paraId="063B09DE">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灰河乡马洼村</w:t>
            </w:r>
          </w:p>
        </w:tc>
        <w:tc>
          <w:tcPr>
            <w:tcW w:w="1789" w:type="dxa"/>
            <w:tcBorders>
              <w:top w:val="nil"/>
              <w:left w:val="nil"/>
              <w:bottom w:val="nil"/>
              <w:right w:val="single" w:color="000000" w:sz="4" w:space="0"/>
            </w:tcBorders>
            <w:noWrap/>
            <w:vAlign w:val="center"/>
          </w:tcPr>
          <w:p w14:paraId="32ECF461">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0</w:t>
            </w:r>
          </w:p>
        </w:tc>
        <w:tc>
          <w:tcPr>
            <w:tcW w:w="1771" w:type="dxa"/>
            <w:tcBorders>
              <w:top w:val="nil"/>
              <w:left w:val="nil"/>
              <w:bottom w:val="nil"/>
              <w:right w:val="single" w:color="000000" w:sz="4" w:space="0"/>
            </w:tcBorders>
            <w:noWrap/>
            <w:vAlign w:val="center"/>
          </w:tcPr>
          <w:p w14:paraId="4D3F8CCD">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0</w:t>
            </w:r>
          </w:p>
        </w:tc>
        <w:tc>
          <w:tcPr>
            <w:tcW w:w="1603" w:type="dxa"/>
            <w:tcBorders>
              <w:top w:val="nil"/>
              <w:left w:val="nil"/>
              <w:bottom w:val="nil"/>
              <w:right w:val="single" w:color="000000" w:sz="4" w:space="0"/>
            </w:tcBorders>
            <w:noWrap/>
            <w:vAlign w:val="center"/>
          </w:tcPr>
          <w:p w14:paraId="4C880ACF">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0</w:t>
            </w:r>
          </w:p>
        </w:tc>
        <w:tc>
          <w:tcPr>
            <w:tcW w:w="1734" w:type="dxa"/>
            <w:tcBorders>
              <w:top w:val="nil"/>
              <w:left w:val="nil"/>
              <w:bottom w:val="nil"/>
              <w:right w:val="single" w:color="000000" w:sz="4" w:space="0"/>
            </w:tcBorders>
            <w:noWrap/>
            <w:vAlign w:val="center"/>
          </w:tcPr>
          <w:p w14:paraId="5F6608DE">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0</w:t>
            </w:r>
          </w:p>
        </w:tc>
        <w:tc>
          <w:tcPr>
            <w:tcW w:w="1398" w:type="dxa"/>
            <w:tcBorders>
              <w:top w:val="nil"/>
              <w:left w:val="nil"/>
              <w:bottom w:val="nil"/>
              <w:right w:val="single" w:color="000000" w:sz="4" w:space="0"/>
            </w:tcBorders>
            <w:noWrap/>
            <w:vAlign w:val="center"/>
          </w:tcPr>
          <w:p w14:paraId="6154795D">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0</w:t>
            </w:r>
          </w:p>
        </w:tc>
      </w:tr>
      <w:tr w14:paraId="5896812A">
        <w:tblPrEx>
          <w:tblCellMar>
            <w:top w:w="0" w:type="dxa"/>
            <w:left w:w="108" w:type="dxa"/>
            <w:bottom w:w="0" w:type="dxa"/>
            <w:right w:w="108" w:type="dxa"/>
          </w:tblCellMar>
        </w:tblPrEx>
        <w:trPr>
          <w:trHeight w:val="283" w:hRule="atLeast"/>
        </w:trPr>
        <w:tc>
          <w:tcPr>
            <w:tcW w:w="1006" w:type="dxa"/>
            <w:vMerge w:val="continue"/>
            <w:tcBorders>
              <w:top w:val="nil"/>
              <w:left w:val="single" w:color="000000" w:sz="4" w:space="0"/>
              <w:bottom w:val="single" w:color="000000" w:sz="4" w:space="0"/>
              <w:right w:val="single" w:color="000000" w:sz="4" w:space="0"/>
            </w:tcBorders>
            <w:noWrap w:val="0"/>
            <w:vAlign w:val="center"/>
          </w:tcPr>
          <w:p w14:paraId="2965F74B">
            <w:pPr>
              <w:keepNext w:val="0"/>
              <w:keepLines w:val="0"/>
              <w:pageBreakBefore w:val="0"/>
              <w:widowControl/>
              <w:kinsoku/>
              <w:wordWrap/>
              <w:overflowPunct/>
              <w:topLinePunct w:val="0"/>
              <w:autoSpaceDE/>
              <w:autoSpaceDN/>
              <w:bidi w:val="0"/>
              <w:adjustRightInd/>
              <w:snapToGrid/>
              <w:spacing w:line="590" w:lineRule="exact"/>
              <w:jc w:val="left"/>
              <w:textAlignment w:val="auto"/>
              <w:rPr>
                <w:rFonts w:eastAsia="仿宋_GB2312"/>
                <w:sz w:val="22"/>
                <w:szCs w:val="22"/>
              </w:rPr>
            </w:pPr>
          </w:p>
        </w:tc>
        <w:tc>
          <w:tcPr>
            <w:tcW w:w="1006" w:type="dxa"/>
            <w:vMerge w:val="continue"/>
            <w:tcBorders>
              <w:top w:val="nil"/>
              <w:left w:val="single" w:color="000000" w:sz="4" w:space="0"/>
              <w:bottom w:val="single" w:color="000000" w:sz="4" w:space="0"/>
              <w:right w:val="single" w:color="000000" w:sz="4" w:space="0"/>
            </w:tcBorders>
            <w:noWrap w:val="0"/>
            <w:vAlign w:val="center"/>
          </w:tcPr>
          <w:p w14:paraId="57E4B4A8">
            <w:pPr>
              <w:keepNext w:val="0"/>
              <w:keepLines w:val="0"/>
              <w:pageBreakBefore w:val="0"/>
              <w:widowControl/>
              <w:kinsoku/>
              <w:wordWrap/>
              <w:overflowPunct/>
              <w:topLinePunct w:val="0"/>
              <w:autoSpaceDE/>
              <w:autoSpaceDN/>
              <w:bidi w:val="0"/>
              <w:adjustRightInd/>
              <w:snapToGrid/>
              <w:spacing w:line="590" w:lineRule="exact"/>
              <w:jc w:val="left"/>
              <w:textAlignment w:val="auto"/>
              <w:rPr>
                <w:rFonts w:eastAsia="仿宋_GB2312"/>
                <w:sz w:val="22"/>
                <w:szCs w:val="22"/>
              </w:rPr>
            </w:pPr>
          </w:p>
        </w:tc>
        <w:tc>
          <w:tcPr>
            <w:tcW w:w="2330" w:type="dxa"/>
            <w:tcBorders>
              <w:top w:val="single" w:color="000000" w:sz="4" w:space="0"/>
              <w:left w:val="nil"/>
              <w:bottom w:val="single" w:color="000000" w:sz="4" w:space="0"/>
              <w:right w:val="single" w:color="000000" w:sz="4" w:space="0"/>
            </w:tcBorders>
            <w:noWrap/>
            <w:vAlign w:val="center"/>
          </w:tcPr>
          <w:p w14:paraId="238ACE74">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大通镇永平村</w:t>
            </w:r>
          </w:p>
        </w:tc>
        <w:tc>
          <w:tcPr>
            <w:tcW w:w="1789" w:type="dxa"/>
            <w:tcBorders>
              <w:top w:val="single" w:color="000000" w:sz="4" w:space="0"/>
              <w:left w:val="nil"/>
              <w:bottom w:val="single" w:color="000000" w:sz="4" w:space="0"/>
              <w:right w:val="single" w:color="000000" w:sz="4" w:space="0"/>
            </w:tcBorders>
            <w:noWrap/>
            <w:vAlign w:val="center"/>
          </w:tcPr>
          <w:p w14:paraId="18BD9B79">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0</w:t>
            </w:r>
          </w:p>
        </w:tc>
        <w:tc>
          <w:tcPr>
            <w:tcW w:w="1771" w:type="dxa"/>
            <w:tcBorders>
              <w:top w:val="single" w:color="000000" w:sz="4" w:space="0"/>
              <w:left w:val="nil"/>
              <w:bottom w:val="single" w:color="000000" w:sz="4" w:space="0"/>
              <w:right w:val="single" w:color="000000" w:sz="4" w:space="0"/>
            </w:tcBorders>
            <w:noWrap/>
            <w:vAlign w:val="center"/>
          </w:tcPr>
          <w:p w14:paraId="07D4FF37">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0</w:t>
            </w:r>
          </w:p>
        </w:tc>
        <w:tc>
          <w:tcPr>
            <w:tcW w:w="1603" w:type="dxa"/>
            <w:tcBorders>
              <w:top w:val="single" w:color="000000" w:sz="4" w:space="0"/>
              <w:left w:val="nil"/>
              <w:bottom w:val="single" w:color="000000" w:sz="4" w:space="0"/>
              <w:right w:val="single" w:color="000000" w:sz="4" w:space="0"/>
            </w:tcBorders>
            <w:noWrap/>
            <w:vAlign w:val="center"/>
          </w:tcPr>
          <w:p w14:paraId="7D368278">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0</w:t>
            </w:r>
          </w:p>
        </w:tc>
        <w:tc>
          <w:tcPr>
            <w:tcW w:w="1734" w:type="dxa"/>
            <w:tcBorders>
              <w:top w:val="single" w:color="000000" w:sz="4" w:space="0"/>
              <w:left w:val="nil"/>
              <w:bottom w:val="single" w:color="000000" w:sz="4" w:space="0"/>
              <w:right w:val="single" w:color="000000" w:sz="4" w:space="0"/>
            </w:tcBorders>
            <w:noWrap/>
            <w:vAlign w:val="center"/>
          </w:tcPr>
          <w:p w14:paraId="474D6EEB">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0</w:t>
            </w:r>
          </w:p>
        </w:tc>
        <w:tc>
          <w:tcPr>
            <w:tcW w:w="1398" w:type="dxa"/>
            <w:tcBorders>
              <w:top w:val="single" w:color="000000" w:sz="4" w:space="0"/>
              <w:left w:val="nil"/>
              <w:bottom w:val="single" w:color="000000" w:sz="4" w:space="0"/>
              <w:right w:val="single" w:color="000000" w:sz="4" w:space="0"/>
            </w:tcBorders>
            <w:noWrap/>
            <w:vAlign w:val="center"/>
          </w:tcPr>
          <w:p w14:paraId="147D30C3">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0</w:t>
            </w:r>
          </w:p>
        </w:tc>
      </w:tr>
      <w:tr w14:paraId="59131BF7">
        <w:tblPrEx>
          <w:tblCellMar>
            <w:top w:w="0" w:type="dxa"/>
            <w:left w:w="108" w:type="dxa"/>
            <w:bottom w:w="0" w:type="dxa"/>
            <w:right w:w="108" w:type="dxa"/>
          </w:tblCellMar>
        </w:tblPrEx>
        <w:trPr>
          <w:trHeight w:val="283" w:hRule="atLeast"/>
        </w:trPr>
        <w:tc>
          <w:tcPr>
            <w:tcW w:w="1006" w:type="dxa"/>
            <w:vMerge w:val="continue"/>
            <w:tcBorders>
              <w:top w:val="nil"/>
              <w:left w:val="single" w:color="000000" w:sz="4" w:space="0"/>
              <w:bottom w:val="single" w:color="000000" w:sz="4" w:space="0"/>
              <w:right w:val="single" w:color="000000" w:sz="4" w:space="0"/>
            </w:tcBorders>
            <w:noWrap w:val="0"/>
            <w:vAlign w:val="center"/>
          </w:tcPr>
          <w:p w14:paraId="6FBE676D">
            <w:pPr>
              <w:keepNext w:val="0"/>
              <w:keepLines w:val="0"/>
              <w:pageBreakBefore w:val="0"/>
              <w:widowControl/>
              <w:kinsoku/>
              <w:wordWrap/>
              <w:overflowPunct/>
              <w:topLinePunct w:val="0"/>
              <w:autoSpaceDE/>
              <w:autoSpaceDN/>
              <w:bidi w:val="0"/>
              <w:adjustRightInd/>
              <w:snapToGrid/>
              <w:spacing w:line="590" w:lineRule="exact"/>
              <w:jc w:val="left"/>
              <w:textAlignment w:val="auto"/>
              <w:rPr>
                <w:rFonts w:eastAsia="仿宋_GB2312"/>
                <w:sz w:val="22"/>
                <w:szCs w:val="22"/>
              </w:rPr>
            </w:pPr>
          </w:p>
        </w:tc>
        <w:tc>
          <w:tcPr>
            <w:tcW w:w="1006" w:type="dxa"/>
            <w:vMerge w:val="continue"/>
            <w:tcBorders>
              <w:top w:val="nil"/>
              <w:left w:val="single" w:color="000000" w:sz="4" w:space="0"/>
              <w:bottom w:val="single" w:color="000000" w:sz="4" w:space="0"/>
              <w:right w:val="single" w:color="000000" w:sz="4" w:space="0"/>
            </w:tcBorders>
            <w:noWrap w:val="0"/>
            <w:vAlign w:val="center"/>
          </w:tcPr>
          <w:p w14:paraId="15FEE872">
            <w:pPr>
              <w:keepNext w:val="0"/>
              <w:keepLines w:val="0"/>
              <w:pageBreakBefore w:val="0"/>
              <w:widowControl/>
              <w:kinsoku/>
              <w:wordWrap/>
              <w:overflowPunct/>
              <w:topLinePunct w:val="0"/>
              <w:autoSpaceDE/>
              <w:autoSpaceDN/>
              <w:bidi w:val="0"/>
              <w:adjustRightInd/>
              <w:snapToGrid/>
              <w:spacing w:line="590" w:lineRule="exact"/>
              <w:jc w:val="left"/>
              <w:textAlignment w:val="auto"/>
              <w:rPr>
                <w:rFonts w:eastAsia="仿宋_GB2312"/>
                <w:sz w:val="22"/>
                <w:szCs w:val="22"/>
              </w:rPr>
            </w:pPr>
          </w:p>
        </w:tc>
        <w:tc>
          <w:tcPr>
            <w:tcW w:w="2330" w:type="dxa"/>
            <w:tcBorders>
              <w:top w:val="nil"/>
              <w:left w:val="nil"/>
              <w:bottom w:val="single" w:color="000000" w:sz="4" w:space="0"/>
              <w:right w:val="single" w:color="000000" w:sz="4" w:space="0"/>
            </w:tcBorders>
            <w:noWrap/>
            <w:vAlign w:val="center"/>
          </w:tcPr>
          <w:p w14:paraId="53DFDC96">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大通镇和悦村</w:t>
            </w:r>
          </w:p>
        </w:tc>
        <w:tc>
          <w:tcPr>
            <w:tcW w:w="1789" w:type="dxa"/>
            <w:tcBorders>
              <w:top w:val="nil"/>
              <w:left w:val="nil"/>
              <w:bottom w:val="single" w:color="000000" w:sz="4" w:space="0"/>
              <w:right w:val="single" w:color="000000" w:sz="4" w:space="0"/>
            </w:tcBorders>
            <w:noWrap/>
            <w:vAlign w:val="center"/>
          </w:tcPr>
          <w:p w14:paraId="4EF4D365">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0</w:t>
            </w:r>
          </w:p>
        </w:tc>
        <w:tc>
          <w:tcPr>
            <w:tcW w:w="1771" w:type="dxa"/>
            <w:tcBorders>
              <w:top w:val="nil"/>
              <w:left w:val="nil"/>
              <w:bottom w:val="single" w:color="000000" w:sz="4" w:space="0"/>
              <w:right w:val="single" w:color="000000" w:sz="4" w:space="0"/>
            </w:tcBorders>
            <w:noWrap/>
            <w:vAlign w:val="center"/>
          </w:tcPr>
          <w:p w14:paraId="3ED64460">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0</w:t>
            </w:r>
          </w:p>
        </w:tc>
        <w:tc>
          <w:tcPr>
            <w:tcW w:w="1603" w:type="dxa"/>
            <w:tcBorders>
              <w:top w:val="nil"/>
              <w:left w:val="nil"/>
              <w:bottom w:val="single" w:color="000000" w:sz="4" w:space="0"/>
              <w:right w:val="single" w:color="000000" w:sz="4" w:space="0"/>
            </w:tcBorders>
            <w:noWrap/>
            <w:vAlign w:val="center"/>
          </w:tcPr>
          <w:p w14:paraId="73BCB665">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0</w:t>
            </w:r>
          </w:p>
        </w:tc>
        <w:tc>
          <w:tcPr>
            <w:tcW w:w="1734" w:type="dxa"/>
            <w:tcBorders>
              <w:top w:val="nil"/>
              <w:left w:val="nil"/>
              <w:bottom w:val="single" w:color="000000" w:sz="4" w:space="0"/>
              <w:right w:val="single" w:color="000000" w:sz="4" w:space="0"/>
            </w:tcBorders>
            <w:noWrap/>
            <w:vAlign w:val="center"/>
          </w:tcPr>
          <w:p w14:paraId="733DCC7A">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0</w:t>
            </w:r>
          </w:p>
        </w:tc>
        <w:tc>
          <w:tcPr>
            <w:tcW w:w="1398" w:type="dxa"/>
            <w:tcBorders>
              <w:top w:val="nil"/>
              <w:left w:val="nil"/>
              <w:bottom w:val="single" w:color="000000" w:sz="4" w:space="0"/>
              <w:right w:val="single" w:color="000000" w:sz="4" w:space="0"/>
            </w:tcBorders>
            <w:noWrap/>
            <w:vAlign w:val="center"/>
          </w:tcPr>
          <w:p w14:paraId="23CF6BC1">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0</w:t>
            </w:r>
          </w:p>
        </w:tc>
      </w:tr>
      <w:tr w14:paraId="0E8C6AD4">
        <w:tblPrEx>
          <w:tblCellMar>
            <w:top w:w="0" w:type="dxa"/>
            <w:left w:w="108" w:type="dxa"/>
            <w:bottom w:w="0" w:type="dxa"/>
            <w:right w:w="108" w:type="dxa"/>
          </w:tblCellMar>
        </w:tblPrEx>
        <w:trPr>
          <w:trHeight w:val="283" w:hRule="atLeast"/>
        </w:trPr>
        <w:tc>
          <w:tcPr>
            <w:tcW w:w="1006" w:type="dxa"/>
            <w:tcBorders>
              <w:top w:val="nil"/>
              <w:left w:val="single" w:color="000000" w:sz="4" w:space="0"/>
              <w:bottom w:val="single" w:color="000000" w:sz="4" w:space="0"/>
              <w:right w:val="single" w:color="000000" w:sz="4" w:space="0"/>
            </w:tcBorders>
            <w:noWrap/>
            <w:vAlign w:val="center"/>
          </w:tcPr>
          <w:p w14:paraId="301EEEE7">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合计</w:t>
            </w:r>
          </w:p>
        </w:tc>
        <w:tc>
          <w:tcPr>
            <w:tcW w:w="1006" w:type="dxa"/>
            <w:tcBorders>
              <w:top w:val="nil"/>
              <w:left w:val="nil"/>
              <w:bottom w:val="single" w:color="000000" w:sz="4" w:space="0"/>
              <w:right w:val="single" w:color="000000" w:sz="4" w:space="0"/>
            </w:tcBorders>
            <w:noWrap/>
            <w:vAlign w:val="center"/>
          </w:tcPr>
          <w:p w14:paraId="28DFE505">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　</w:t>
            </w:r>
          </w:p>
        </w:tc>
        <w:tc>
          <w:tcPr>
            <w:tcW w:w="2330" w:type="dxa"/>
            <w:tcBorders>
              <w:top w:val="nil"/>
              <w:left w:val="nil"/>
              <w:bottom w:val="single" w:color="000000" w:sz="4" w:space="0"/>
              <w:right w:val="single" w:color="000000" w:sz="4" w:space="0"/>
            </w:tcBorders>
            <w:noWrap/>
            <w:vAlign w:val="center"/>
          </w:tcPr>
          <w:p w14:paraId="3975D567">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　</w:t>
            </w:r>
          </w:p>
        </w:tc>
        <w:tc>
          <w:tcPr>
            <w:tcW w:w="1789" w:type="dxa"/>
            <w:tcBorders>
              <w:top w:val="nil"/>
              <w:left w:val="nil"/>
              <w:bottom w:val="single" w:color="000000" w:sz="4" w:space="0"/>
              <w:right w:val="single" w:color="000000" w:sz="4" w:space="0"/>
            </w:tcBorders>
            <w:noWrap/>
            <w:vAlign w:val="center"/>
          </w:tcPr>
          <w:p w14:paraId="23654B05">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2436</w:t>
            </w:r>
          </w:p>
        </w:tc>
        <w:tc>
          <w:tcPr>
            <w:tcW w:w="1771" w:type="dxa"/>
            <w:tcBorders>
              <w:top w:val="nil"/>
              <w:left w:val="nil"/>
              <w:bottom w:val="single" w:color="000000" w:sz="4" w:space="0"/>
              <w:right w:val="single" w:color="000000" w:sz="4" w:space="0"/>
            </w:tcBorders>
            <w:noWrap/>
            <w:vAlign w:val="center"/>
          </w:tcPr>
          <w:p w14:paraId="5D410BA0">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24.36</w:t>
            </w:r>
          </w:p>
        </w:tc>
        <w:tc>
          <w:tcPr>
            <w:tcW w:w="1603" w:type="dxa"/>
            <w:tcBorders>
              <w:top w:val="nil"/>
              <w:left w:val="nil"/>
              <w:bottom w:val="single" w:color="000000" w:sz="4" w:space="0"/>
              <w:right w:val="single" w:color="000000" w:sz="4" w:space="0"/>
            </w:tcBorders>
            <w:noWrap/>
            <w:vAlign w:val="center"/>
          </w:tcPr>
          <w:p w14:paraId="116CE0B5">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154.2808</w:t>
            </w:r>
          </w:p>
        </w:tc>
        <w:tc>
          <w:tcPr>
            <w:tcW w:w="1734" w:type="dxa"/>
            <w:tcBorders>
              <w:top w:val="nil"/>
              <w:left w:val="nil"/>
              <w:bottom w:val="single" w:color="000000" w:sz="4" w:space="0"/>
              <w:right w:val="single" w:color="000000" w:sz="4" w:space="0"/>
            </w:tcBorders>
            <w:noWrap/>
            <w:vAlign w:val="center"/>
          </w:tcPr>
          <w:p w14:paraId="4143C33E">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308.5592</w:t>
            </w:r>
          </w:p>
        </w:tc>
        <w:tc>
          <w:tcPr>
            <w:tcW w:w="1398" w:type="dxa"/>
            <w:tcBorders>
              <w:top w:val="nil"/>
              <w:left w:val="nil"/>
              <w:bottom w:val="single" w:color="000000" w:sz="4" w:space="0"/>
              <w:right w:val="single" w:color="000000" w:sz="4" w:space="0"/>
            </w:tcBorders>
            <w:noWrap/>
            <w:vAlign w:val="center"/>
          </w:tcPr>
          <w:p w14:paraId="15B3D32A">
            <w:pPr>
              <w:keepNext w:val="0"/>
              <w:keepLines w:val="0"/>
              <w:pageBreakBefore w:val="0"/>
              <w:widowControl/>
              <w:kinsoku/>
              <w:wordWrap/>
              <w:overflowPunct/>
              <w:topLinePunct w:val="0"/>
              <w:autoSpaceDE/>
              <w:autoSpaceDN/>
              <w:bidi w:val="0"/>
              <w:adjustRightInd/>
              <w:snapToGrid/>
              <w:spacing w:line="590" w:lineRule="exact"/>
              <w:jc w:val="center"/>
              <w:textAlignment w:val="auto"/>
              <w:rPr>
                <w:rFonts w:eastAsia="仿宋_GB2312"/>
                <w:sz w:val="22"/>
                <w:szCs w:val="22"/>
              </w:rPr>
            </w:pPr>
            <w:r>
              <w:rPr>
                <w:rFonts w:eastAsia="仿宋_GB2312"/>
                <w:sz w:val="22"/>
                <w:szCs w:val="22"/>
              </w:rPr>
              <w:t>487.2</w:t>
            </w:r>
          </w:p>
        </w:tc>
      </w:tr>
    </w:tbl>
    <w:p w14:paraId="6151D134">
      <w:pPr>
        <w:keepNext w:val="0"/>
        <w:keepLines w:val="0"/>
        <w:pageBreakBefore w:val="0"/>
        <w:kinsoku/>
        <w:wordWrap/>
        <w:overflowPunct/>
        <w:topLinePunct w:val="0"/>
        <w:autoSpaceDE/>
        <w:autoSpaceDN/>
        <w:bidi w:val="0"/>
        <w:adjustRightInd/>
        <w:snapToGrid/>
        <w:spacing w:line="590" w:lineRule="exact"/>
        <w:textAlignment w:val="auto"/>
      </w:pPr>
    </w:p>
    <w:sectPr>
      <w:pgSz w:w="16838" w:h="11906"/>
      <w:pgMar w:top="1531" w:right="2098" w:bottom="1531" w:left="1985" w:header="1474" w:footer="1474" w:gutter="0"/>
      <w:pgBorders>
        <w:top w:val="single" w:color="015293" w:sz="18" w:space="1"/>
        <w:bottom w:val="single" w:color="015293" w:sz="18" w:space="1"/>
      </w:pgBorders>
      <w:cols w:space="1701"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小标宋_GBK">
    <w:panose1 w:val="03000509000000000000"/>
    <w:charset w:val="86"/>
    <w:family w:val="auto"/>
    <w:pitch w:val="default"/>
    <w:sig w:usb0="00000001" w:usb1="080E0000" w:usb2="00000000" w:usb3="00000000" w:csb0="00040000" w:csb1="00000000"/>
  </w:font>
  <w:font w:name="方正楷体_GBK">
    <w:panose1 w:val="02000000000000000000"/>
    <w:charset w:val="86"/>
    <w:family w:val="auto"/>
    <w:pitch w:val="default"/>
    <w:sig w:usb0="800002BF" w:usb1="38C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等线 Light">
    <w:panose1 w:val="02010600030101010101"/>
    <w:charset w:val="86"/>
    <w:family w:val="auto"/>
    <w:pitch w:val="default"/>
    <w:sig w:usb0="A00002BF" w:usb1="38CF7CFA" w:usb2="00000016" w:usb3="00000000" w:csb0="0004000F" w:csb1="00000000"/>
  </w:font>
  <w:font w:name="华文新魏">
    <w:altName w:val="Segoe UI Semibold"/>
    <w:panose1 w:val="02010802060101010101"/>
    <w:charset w:val="00"/>
    <w:family w:val="auto"/>
    <w:pitch w:val="default"/>
    <w:sig w:usb0="00000000" w:usb1="00000000" w:usb2="00000000" w:usb3="00000000" w:csb0="00000000" w:csb1="00000000"/>
  </w:font>
  <w:font w:name="Segoe UI Semibold">
    <w:panose1 w:val="020B0702040204020203"/>
    <w:charset w:val="00"/>
    <w:family w:val="auto"/>
    <w:pitch w:val="default"/>
    <w:sig w:usb0="E4002EFF" w:usb1="C000E47F"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2413A9">
    <w:pPr>
      <w:pStyle w:val="199"/>
      <w:framePr w:wrap="around" w:vAnchor="text" w:hAnchor="page" w:x="1502" w:y="106"/>
      <w:ind w:left="320" w:right="320"/>
      <w:rPr>
        <w:rStyle w:val="212"/>
        <w:rFonts w:hint="eastAsia" w:ascii="宋体" w:hAnsi="宋体" w:eastAsia="宋体"/>
        <w:sz w:val="28"/>
        <w:szCs w:val="28"/>
      </w:rPr>
    </w:pPr>
    <w:r>
      <w:rPr>
        <w:rStyle w:val="212"/>
        <w:rFonts w:hint="eastAsia" w:ascii="宋体" w:hAnsi="宋体" w:eastAsia="宋体"/>
        <w:sz w:val="28"/>
        <w:szCs w:val="28"/>
      </w:rPr>
      <w:t xml:space="preserve">— </w:t>
    </w:r>
    <w:r>
      <w:rPr>
        <w:rStyle w:val="212"/>
        <w:rFonts w:ascii="宋体" w:hAnsi="宋体" w:eastAsia="宋体"/>
        <w:sz w:val="28"/>
        <w:szCs w:val="28"/>
      </w:rPr>
      <w:fldChar w:fldCharType="begin"/>
    </w:r>
    <w:r>
      <w:rPr>
        <w:rStyle w:val="212"/>
        <w:rFonts w:ascii="宋体" w:hAnsi="宋体" w:eastAsia="宋体"/>
        <w:sz w:val="28"/>
        <w:szCs w:val="28"/>
      </w:rPr>
      <w:instrText xml:space="preserve">PAGE  </w:instrText>
    </w:r>
    <w:r>
      <w:rPr>
        <w:rStyle w:val="212"/>
        <w:rFonts w:ascii="宋体" w:hAnsi="宋体" w:eastAsia="宋体"/>
        <w:sz w:val="28"/>
        <w:szCs w:val="28"/>
      </w:rPr>
      <w:fldChar w:fldCharType="separate"/>
    </w:r>
    <w:r>
      <w:rPr>
        <w:rStyle w:val="212"/>
        <w:rFonts w:ascii="宋体" w:hAnsi="宋体" w:eastAsia="宋体"/>
        <w:sz w:val="28"/>
        <w:szCs w:val="28"/>
      </w:rPr>
      <w:t>5</w:t>
    </w:r>
    <w:r>
      <w:rPr>
        <w:rStyle w:val="212"/>
        <w:rFonts w:ascii="宋体" w:hAnsi="宋体" w:eastAsia="宋体"/>
        <w:sz w:val="28"/>
        <w:szCs w:val="28"/>
      </w:rPr>
      <w:fldChar w:fldCharType="end"/>
    </w:r>
    <w:r>
      <w:rPr>
        <w:rStyle w:val="212"/>
        <w:rFonts w:hint="eastAsia" w:ascii="宋体" w:hAnsi="宋体" w:eastAsia="宋体"/>
        <w:sz w:val="28"/>
        <w:szCs w:val="28"/>
      </w:rPr>
      <w:t xml:space="preserve"> —</w:t>
    </w:r>
  </w:p>
  <w:p w14:paraId="5B95788B">
    <w:pPr>
      <w:pStyle w:val="199"/>
      <w:keepNext w:val="0"/>
      <w:keepLines w:val="0"/>
      <w:pageBreakBefore w:val="0"/>
      <w:widowControl w:val="0"/>
      <w:spacing w:line="240" w:lineRule="exact"/>
      <w:ind w:right="567"/>
      <w:jc w:val="both"/>
      <w:rPr>
        <w:rFonts w:hint="eastAsia" w:ascii="宋体" w:hAnsi="宋体" w:eastAsia="宋体" w:cs="宋体"/>
        <w:b/>
        <w:bCs/>
        <w:color w:val="015293"/>
        <w:sz w:val="28"/>
        <w:szCs w:val="28"/>
        <w:lang w:eastAsia="zh-CN"/>
      </w:rPr>
    </w:pPr>
  </w:p>
  <w:p w14:paraId="30DCCE49">
    <w:pPr>
      <w:pStyle w:val="199"/>
      <w:keepNext w:val="0"/>
      <w:keepLines w:val="0"/>
      <w:pageBreakBefore w:val="0"/>
      <w:widowControl w:val="0"/>
      <w:ind w:right="567"/>
      <w:jc w:val="right"/>
      <w:rPr>
        <w:rFonts w:hint="eastAsia" w:ascii="宋体" w:hAnsi="宋体" w:eastAsia="宋体" w:cs="宋体"/>
        <w:b/>
        <w:bCs/>
        <w:color w:val="015293"/>
        <w:sz w:val="32"/>
        <w:szCs w:val="32"/>
      </w:rPr>
    </w:pPr>
    <w:r>
      <w:rPr>
        <w:rFonts w:hint="eastAsia" w:ascii="宋体" w:hAnsi="宋体" w:eastAsia="宋体" w:cs="宋体"/>
        <w:b/>
        <w:bCs/>
        <w:color w:val="015293"/>
        <w:sz w:val="32"/>
        <w:szCs w:val="32"/>
        <w:lang w:eastAsia="zh-CN"/>
      </w:rPr>
      <w:t>铜陵市郊区人民政府办公室发布</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F88046">
    <w:pPr>
      <w:pStyle w:val="201"/>
      <w:pBdr>
        <w:bottom w:val="none" w:color="000000" w:sz="0" w:space="1"/>
      </w:pBdr>
      <w:ind w:firstLine="1080"/>
      <w:jc w:val="both"/>
      <w:rPr>
        <w:rFonts w:hint="eastAsia" w:ascii="宋体" w:hAnsi="宋体" w:eastAsia="宋体" w:cs="宋体"/>
      </w:rPr>
    </w:pPr>
    <w:r>
      <w:rPr>
        <w:rFonts w:hint="eastAsia" w:ascii="宋体" w:hAnsi="宋体" w:eastAsia="宋体" w:cs="宋体"/>
      </w:rPr>
      <w:drawing>
        <wp:anchor distT="0" distB="0" distL="114300" distR="114300" simplePos="0" relativeHeight="251659264" behindDoc="0" locked="0" layoutInCell="1" allowOverlap="1">
          <wp:simplePos x="0" y="0"/>
          <wp:positionH relativeFrom="column">
            <wp:posOffset>81280</wp:posOffset>
          </wp:positionH>
          <wp:positionV relativeFrom="paragraph">
            <wp:posOffset>-116840</wp:posOffset>
          </wp:positionV>
          <wp:extent cx="435610" cy="457200"/>
          <wp:effectExtent l="0" t="0" r="0" b="0"/>
          <wp:wrapNone/>
          <wp:docPr id="1" name="_x0000_s2050"/>
          <wp:cNvGraphicFramePr/>
          <a:graphic xmlns:a="http://schemas.openxmlformats.org/drawingml/2006/main">
            <a:graphicData uri="http://schemas.openxmlformats.org/drawingml/2006/picture">
              <pic:pic xmlns:pic="http://schemas.openxmlformats.org/drawingml/2006/picture">
                <pic:nvPicPr>
                  <pic:cNvPr id="1" name="_x0000_s2050"/>
                  <pic:cNvPicPr/>
                </pic:nvPicPr>
                <pic:blipFill>
                  <a:blip r:embed="rId1"/>
                  <a:stretch>
                    <a:fillRect/>
                  </a:stretch>
                </pic:blipFill>
                <pic:spPr>
                  <a:xfrm>
                    <a:off x="0" y="0"/>
                    <a:ext cx="435610" cy="457200"/>
                  </a:xfrm>
                  <a:prstGeom prst="rect">
                    <a:avLst/>
                  </a:prstGeom>
                  <a:noFill/>
                  <a:ln>
                    <a:noFill/>
                  </a:ln>
                </pic:spPr>
              </pic:pic>
            </a:graphicData>
          </a:graphic>
        </wp:anchor>
      </w:drawing>
    </w:r>
    <w:r>
      <w:rPr>
        <w:rFonts w:hint="eastAsia" w:ascii="宋体" w:hAnsi="宋体" w:eastAsia="宋体" w:cs="宋体"/>
        <w:b/>
        <w:bCs/>
        <w:color w:val="015293"/>
        <w:sz w:val="32"/>
        <w:szCs w:val="32"/>
      </w:rPr>
      <w:t>铜陵市郊区人民政府</w:t>
    </w:r>
    <w:r>
      <w:rPr>
        <w:rFonts w:hint="eastAsia" w:ascii="宋体" w:hAnsi="宋体" w:eastAsia="宋体" w:cs="宋体"/>
        <w:b/>
        <w:bCs/>
        <w:color w:val="015293"/>
        <w:sz w:val="32"/>
        <w:szCs w:val="32"/>
        <w:lang w:val="en-US" w:eastAsia="zh-CN"/>
      </w:rPr>
      <w:t>办公室</w:t>
    </w:r>
    <w:r>
      <w:rPr>
        <w:rFonts w:hint="eastAsia" w:ascii="宋体" w:hAnsi="宋体" w:eastAsia="宋体" w:cs="宋体"/>
        <w:b/>
        <w:bCs/>
        <w:color w:val="015293"/>
        <w:sz w:val="32"/>
        <w:szCs w:val="32"/>
      </w:rPr>
      <w:t>行政规范性文件</w:t>
    </w:r>
  </w:p>
  <w:p w14:paraId="2F0C6CC2">
    <w:pPr>
      <w:pStyle w:val="201"/>
      <w:pBdr>
        <w:bottom w:val="none" w:color="000000" w:sz="0" w:space="1"/>
      </w:pBdr>
      <w:tabs>
        <w:tab w:val="left" w:pos="7344"/>
      </w:tabs>
      <w:jc w:val="left"/>
      <w:rPr>
        <w:rFonts w:hint="eastAsia"/>
      </w:rPr>
    </w:pPr>
    <w:r>
      <w:rPr>
        <w:rFonts w:hint="eastAsia"/>
      </w:rPr>
      <w:tab/>
    </w:r>
    <w:r>
      <w:rPr>
        <w:rFonts w:hint="eastAsia"/>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characterSpacingControl w:val="doNotCompress"/>
  <w:compat>
    <w:balanceSingleByteDoubleByteWidth/>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IzM2JjNjFkYzE0ZTU4Yzk5YmM2OWNhZTc1MDliZGMifQ=="/>
  </w:docVars>
  <w:rsids>
    <w:rsidRoot w:val="00000000"/>
    <w:rsid w:val="0AA70172"/>
    <w:rsid w:val="19E7095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qFormat="1" w:unhideWhenUsed="0" w:uiPriority="0" w:semiHidden="0"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27"/>
    <w:qFormat/>
    <w:uiPriority w:val="0"/>
    <w:pPr>
      <w:widowControl w:val="0"/>
      <w:jc w:val="both"/>
    </w:pPr>
    <w:rPr>
      <w:rFonts w:hint="default" w:ascii="Times New Roman" w:hAnsi="Times New Roman" w:eastAsia="仿宋_GB2312" w:cs="Times New Roman"/>
      <w:sz w:val="32"/>
      <w:szCs w:val="24"/>
      <w:lang w:val="en-US" w:eastAsia="zh-CN" w:bidi="ar-SA"/>
    </w:rPr>
  </w:style>
  <w:style w:type="paragraph" w:styleId="2">
    <w:name w:val="heading 1"/>
    <w:basedOn w:val="1"/>
    <w:next w:val="1"/>
    <w:link w:val="36"/>
    <w:qFormat/>
    <w:uiPriority w:val="9"/>
    <w:pPr>
      <w:keepNext/>
      <w:keepLines/>
      <w:spacing w:before="480" w:after="200"/>
      <w:outlineLvl w:val="0"/>
    </w:pPr>
    <w:rPr>
      <w:rFonts w:ascii="等线" w:hAnsi="等线" w:eastAsia="等线" w:cs="等线"/>
      <w:sz w:val="40"/>
      <w:szCs w:val="40"/>
    </w:rPr>
  </w:style>
  <w:style w:type="paragraph" w:styleId="3">
    <w:name w:val="heading 2"/>
    <w:basedOn w:val="1"/>
    <w:next w:val="1"/>
    <w:link w:val="37"/>
    <w:unhideWhenUsed/>
    <w:qFormat/>
    <w:uiPriority w:val="9"/>
    <w:pPr>
      <w:keepNext/>
      <w:keepLines/>
      <w:spacing w:before="360" w:after="200"/>
      <w:outlineLvl w:val="1"/>
    </w:pPr>
    <w:rPr>
      <w:rFonts w:ascii="等线" w:hAnsi="等线" w:eastAsia="等线" w:cs="等线"/>
      <w:sz w:val="34"/>
    </w:rPr>
  </w:style>
  <w:style w:type="paragraph" w:styleId="4">
    <w:name w:val="heading 3"/>
    <w:basedOn w:val="1"/>
    <w:next w:val="1"/>
    <w:link w:val="38"/>
    <w:unhideWhenUsed/>
    <w:qFormat/>
    <w:uiPriority w:val="9"/>
    <w:pPr>
      <w:keepNext/>
      <w:keepLines/>
      <w:spacing w:before="320" w:after="200"/>
      <w:outlineLvl w:val="2"/>
    </w:pPr>
    <w:rPr>
      <w:rFonts w:ascii="等线" w:hAnsi="等线" w:eastAsia="等线" w:cs="等线"/>
      <w:sz w:val="30"/>
      <w:szCs w:val="30"/>
    </w:rPr>
  </w:style>
  <w:style w:type="paragraph" w:styleId="5">
    <w:name w:val="heading 4"/>
    <w:basedOn w:val="1"/>
    <w:next w:val="1"/>
    <w:link w:val="39"/>
    <w:unhideWhenUsed/>
    <w:qFormat/>
    <w:uiPriority w:val="9"/>
    <w:pPr>
      <w:keepNext/>
      <w:keepLines/>
      <w:spacing w:before="320" w:after="200"/>
      <w:outlineLvl w:val="3"/>
    </w:pPr>
    <w:rPr>
      <w:rFonts w:ascii="等线" w:hAnsi="等线" w:eastAsia="等线" w:cs="等线"/>
      <w:b/>
      <w:bCs/>
      <w:sz w:val="26"/>
      <w:szCs w:val="26"/>
    </w:rPr>
  </w:style>
  <w:style w:type="paragraph" w:styleId="6">
    <w:name w:val="heading 5"/>
    <w:basedOn w:val="1"/>
    <w:next w:val="1"/>
    <w:link w:val="40"/>
    <w:unhideWhenUsed/>
    <w:qFormat/>
    <w:uiPriority w:val="9"/>
    <w:pPr>
      <w:keepNext/>
      <w:keepLines/>
      <w:spacing w:before="320" w:after="200"/>
      <w:outlineLvl w:val="4"/>
    </w:pPr>
    <w:rPr>
      <w:rFonts w:ascii="等线" w:hAnsi="等线" w:eastAsia="等线" w:cs="等线"/>
      <w:b/>
      <w:bCs/>
      <w:sz w:val="24"/>
      <w:szCs w:val="24"/>
    </w:rPr>
  </w:style>
  <w:style w:type="paragraph" w:styleId="7">
    <w:name w:val="heading 6"/>
    <w:basedOn w:val="1"/>
    <w:next w:val="1"/>
    <w:link w:val="41"/>
    <w:unhideWhenUsed/>
    <w:qFormat/>
    <w:uiPriority w:val="9"/>
    <w:pPr>
      <w:keepNext/>
      <w:keepLines/>
      <w:spacing w:before="320" w:after="200"/>
      <w:outlineLvl w:val="5"/>
    </w:pPr>
    <w:rPr>
      <w:rFonts w:ascii="等线" w:hAnsi="等线" w:eastAsia="等线" w:cs="等线"/>
      <w:b/>
      <w:bCs/>
      <w:sz w:val="22"/>
      <w:szCs w:val="22"/>
    </w:rPr>
  </w:style>
  <w:style w:type="paragraph" w:styleId="8">
    <w:name w:val="heading 7"/>
    <w:basedOn w:val="1"/>
    <w:next w:val="1"/>
    <w:link w:val="42"/>
    <w:unhideWhenUsed/>
    <w:qFormat/>
    <w:uiPriority w:val="9"/>
    <w:pPr>
      <w:keepNext/>
      <w:keepLines/>
      <w:spacing w:before="320" w:after="200"/>
      <w:outlineLvl w:val="6"/>
    </w:pPr>
    <w:rPr>
      <w:rFonts w:ascii="等线" w:hAnsi="等线" w:eastAsia="等线" w:cs="等线"/>
      <w:b/>
      <w:bCs/>
      <w:i/>
      <w:iCs/>
      <w:sz w:val="22"/>
      <w:szCs w:val="22"/>
    </w:rPr>
  </w:style>
  <w:style w:type="paragraph" w:styleId="9">
    <w:name w:val="heading 8"/>
    <w:basedOn w:val="1"/>
    <w:next w:val="1"/>
    <w:link w:val="43"/>
    <w:unhideWhenUsed/>
    <w:qFormat/>
    <w:uiPriority w:val="9"/>
    <w:pPr>
      <w:keepNext/>
      <w:keepLines/>
      <w:spacing w:before="320" w:after="200"/>
      <w:outlineLvl w:val="7"/>
    </w:pPr>
    <w:rPr>
      <w:rFonts w:ascii="等线" w:hAnsi="等线" w:eastAsia="等线" w:cs="等线"/>
      <w:i/>
      <w:iCs/>
      <w:sz w:val="22"/>
      <w:szCs w:val="22"/>
    </w:rPr>
  </w:style>
  <w:style w:type="paragraph" w:styleId="10">
    <w:name w:val="heading 9"/>
    <w:basedOn w:val="1"/>
    <w:next w:val="1"/>
    <w:link w:val="44"/>
    <w:unhideWhenUsed/>
    <w:qFormat/>
    <w:uiPriority w:val="9"/>
    <w:pPr>
      <w:keepNext/>
      <w:keepLines/>
      <w:spacing w:before="320" w:after="200"/>
      <w:outlineLvl w:val="8"/>
    </w:pPr>
    <w:rPr>
      <w:rFonts w:ascii="等线" w:hAnsi="等线" w:eastAsia="等线" w:cs="等线"/>
      <w:i/>
      <w:iCs/>
      <w:sz w:val="21"/>
      <w:szCs w:val="21"/>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styleId="11">
    <w:name w:val="toc 7"/>
    <w:basedOn w:val="1"/>
    <w:next w:val="1"/>
    <w:unhideWhenUsed/>
    <w:qFormat/>
    <w:uiPriority w:val="39"/>
    <w:pPr>
      <w:spacing w:after="57"/>
      <w:ind w:left="1701" w:right="0" w:firstLine="0"/>
    </w:pPr>
  </w:style>
  <w:style w:type="paragraph" w:styleId="12">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3">
    <w:name w:val="HTML Address"/>
    <w:basedOn w:val="1"/>
    <w:qFormat/>
    <w:uiPriority w:val="0"/>
    <w:pPr>
      <w:widowControl/>
      <w:jc w:val="left"/>
    </w:pPr>
    <w:rPr>
      <w:rFonts w:ascii="宋体" w:hAnsi="宋体" w:cs="宋体"/>
      <w:color w:val="020202"/>
      <w:sz w:val="24"/>
    </w:rPr>
  </w:style>
  <w:style w:type="paragraph" w:styleId="14">
    <w:name w:val="toc 5"/>
    <w:basedOn w:val="1"/>
    <w:next w:val="1"/>
    <w:unhideWhenUsed/>
    <w:qFormat/>
    <w:uiPriority w:val="39"/>
    <w:pPr>
      <w:spacing w:after="57"/>
      <w:ind w:left="1134" w:right="0" w:firstLine="0"/>
    </w:pPr>
  </w:style>
  <w:style w:type="paragraph" w:styleId="15">
    <w:name w:val="toc 3"/>
    <w:basedOn w:val="1"/>
    <w:next w:val="1"/>
    <w:unhideWhenUsed/>
    <w:qFormat/>
    <w:uiPriority w:val="39"/>
    <w:pPr>
      <w:spacing w:after="57"/>
      <w:ind w:left="567" w:right="0" w:firstLine="0"/>
    </w:pPr>
  </w:style>
  <w:style w:type="paragraph" w:styleId="16">
    <w:name w:val="toc 8"/>
    <w:basedOn w:val="1"/>
    <w:next w:val="1"/>
    <w:unhideWhenUsed/>
    <w:qFormat/>
    <w:uiPriority w:val="39"/>
    <w:pPr>
      <w:spacing w:after="57"/>
      <w:ind w:left="1984" w:right="0" w:firstLine="0"/>
    </w:pPr>
  </w:style>
  <w:style w:type="paragraph" w:styleId="17">
    <w:name w:val="endnote text"/>
    <w:basedOn w:val="1"/>
    <w:link w:val="179"/>
    <w:semiHidden/>
    <w:unhideWhenUsed/>
    <w:qFormat/>
    <w:uiPriority w:val="99"/>
    <w:pPr>
      <w:spacing w:after="0" w:line="240" w:lineRule="auto"/>
    </w:pPr>
    <w:rPr>
      <w:sz w:val="20"/>
    </w:rPr>
  </w:style>
  <w:style w:type="paragraph" w:styleId="18">
    <w:name w:val="footer"/>
    <w:basedOn w:val="1"/>
    <w:link w:val="52"/>
    <w:unhideWhenUsed/>
    <w:qFormat/>
    <w:uiPriority w:val="99"/>
    <w:pPr>
      <w:tabs>
        <w:tab w:val="center" w:pos="7143"/>
        <w:tab w:val="right" w:pos="14287"/>
      </w:tabs>
      <w:spacing w:after="0" w:line="240" w:lineRule="auto"/>
    </w:pPr>
  </w:style>
  <w:style w:type="paragraph" w:styleId="19">
    <w:name w:val="header"/>
    <w:basedOn w:val="1"/>
    <w:unhideWhenUsed/>
    <w:qFormat/>
    <w:uiPriority w:val="99"/>
    <w:pPr>
      <w:tabs>
        <w:tab w:val="center" w:pos="7143"/>
        <w:tab w:val="right" w:pos="14287"/>
      </w:tabs>
      <w:spacing w:after="0" w:line="240" w:lineRule="auto"/>
    </w:pPr>
  </w:style>
  <w:style w:type="paragraph" w:styleId="20">
    <w:name w:val="toc 1"/>
    <w:basedOn w:val="1"/>
    <w:next w:val="1"/>
    <w:unhideWhenUsed/>
    <w:qFormat/>
    <w:uiPriority w:val="39"/>
    <w:pPr>
      <w:spacing w:after="57"/>
      <w:ind w:left="0" w:right="0" w:firstLine="0"/>
    </w:pPr>
  </w:style>
  <w:style w:type="paragraph" w:styleId="21">
    <w:name w:val="toc 4"/>
    <w:basedOn w:val="1"/>
    <w:next w:val="1"/>
    <w:unhideWhenUsed/>
    <w:qFormat/>
    <w:uiPriority w:val="39"/>
    <w:pPr>
      <w:spacing w:after="57"/>
      <w:ind w:left="850" w:right="0" w:firstLine="0"/>
    </w:pPr>
  </w:style>
  <w:style w:type="paragraph" w:styleId="22">
    <w:name w:val="Subtitle"/>
    <w:basedOn w:val="1"/>
    <w:next w:val="1"/>
    <w:link w:val="47"/>
    <w:qFormat/>
    <w:uiPriority w:val="11"/>
    <w:pPr>
      <w:spacing w:before="200" w:after="200"/>
    </w:pPr>
    <w:rPr>
      <w:sz w:val="24"/>
      <w:szCs w:val="24"/>
    </w:rPr>
  </w:style>
  <w:style w:type="paragraph" w:styleId="23">
    <w:name w:val="footnote text"/>
    <w:basedOn w:val="1"/>
    <w:link w:val="178"/>
    <w:semiHidden/>
    <w:unhideWhenUsed/>
    <w:qFormat/>
    <w:uiPriority w:val="99"/>
    <w:pPr>
      <w:spacing w:after="40" w:line="240" w:lineRule="auto"/>
    </w:pPr>
    <w:rPr>
      <w:sz w:val="18"/>
    </w:rPr>
  </w:style>
  <w:style w:type="paragraph" w:styleId="24">
    <w:name w:val="toc 6"/>
    <w:basedOn w:val="1"/>
    <w:next w:val="1"/>
    <w:unhideWhenUsed/>
    <w:qFormat/>
    <w:uiPriority w:val="39"/>
    <w:pPr>
      <w:spacing w:after="57"/>
      <w:ind w:left="1417" w:right="0" w:firstLine="0"/>
    </w:pPr>
  </w:style>
  <w:style w:type="paragraph" w:styleId="25">
    <w:name w:val="table of figures"/>
    <w:basedOn w:val="1"/>
    <w:next w:val="1"/>
    <w:unhideWhenUsed/>
    <w:qFormat/>
    <w:uiPriority w:val="99"/>
    <w:pPr>
      <w:spacing w:after="0" w:afterAutospacing="0"/>
    </w:pPr>
  </w:style>
  <w:style w:type="paragraph" w:styleId="26">
    <w:name w:val="toc 2"/>
    <w:basedOn w:val="1"/>
    <w:next w:val="1"/>
    <w:unhideWhenUsed/>
    <w:qFormat/>
    <w:uiPriority w:val="39"/>
    <w:pPr>
      <w:spacing w:after="57"/>
      <w:ind w:left="283" w:right="0" w:firstLine="0"/>
    </w:pPr>
  </w:style>
  <w:style w:type="paragraph" w:styleId="27">
    <w:name w:val="toc 9"/>
    <w:basedOn w:val="1"/>
    <w:next w:val="1"/>
    <w:unhideWhenUsed/>
    <w:qFormat/>
    <w:uiPriority w:val="39"/>
    <w:pPr>
      <w:spacing w:after="57"/>
      <w:ind w:left="2268" w:right="0" w:firstLine="0"/>
    </w:pPr>
  </w:style>
  <w:style w:type="paragraph" w:styleId="28">
    <w:name w:val="Normal (Web)"/>
    <w:basedOn w:val="1"/>
    <w:qFormat/>
    <w:uiPriority w:val="0"/>
    <w:pPr>
      <w:spacing w:beforeAutospacing="1" w:afterAutospacing="1"/>
      <w:jc w:val="left"/>
    </w:pPr>
    <w:rPr>
      <w:rFonts w:eastAsia="宋体"/>
      <w:sz w:val="24"/>
    </w:rPr>
  </w:style>
  <w:style w:type="paragraph" w:styleId="29">
    <w:name w:val="Title"/>
    <w:basedOn w:val="1"/>
    <w:next w:val="1"/>
    <w:link w:val="46"/>
    <w:qFormat/>
    <w:uiPriority w:val="10"/>
    <w:pPr>
      <w:spacing w:before="300" w:after="200"/>
      <w:contextualSpacing/>
    </w:pPr>
    <w:rPr>
      <w:sz w:val="48"/>
      <w:szCs w:val="48"/>
    </w:rPr>
  </w:style>
  <w:style w:type="table" w:styleId="31">
    <w:name w:val="Table Grid"/>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33">
    <w:name w:val="endnote reference"/>
    <w:semiHidden/>
    <w:unhideWhenUsed/>
    <w:qFormat/>
    <w:uiPriority w:val="99"/>
    <w:rPr>
      <w:vertAlign w:val="superscript"/>
    </w:rPr>
  </w:style>
  <w:style w:type="character" w:styleId="34">
    <w:name w:val="Hyperlink"/>
    <w:unhideWhenUsed/>
    <w:qFormat/>
    <w:uiPriority w:val="99"/>
    <w:rPr>
      <w:color w:val="0000FF" w:themeColor="hyperlink"/>
      <w:u w:val="single"/>
      <w14:textFill>
        <w14:solidFill>
          <w14:schemeClr w14:val="hlink"/>
        </w14:solidFill>
      </w14:textFill>
    </w:rPr>
  </w:style>
  <w:style w:type="character" w:styleId="35">
    <w:name w:val="footnote reference"/>
    <w:unhideWhenUsed/>
    <w:qFormat/>
    <w:uiPriority w:val="99"/>
    <w:rPr>
      <w:vertAlign w:val="superscript"/>
    </w:rPr>
  </w:style>
  <w:style w:type="character" w:customStyle="1" w:styleId="36">
    <w:name w:val="Heading 1 Char"/>
    <w:link w:val="2"/>
    <w:qFormat/>
    <w:uiPriority w:val="9"/>
    <w:rPr>
      <w:rFonts w:ascii="等线" w:hAnsi="等线" w:eastAsia="等线" w:cs="等线"/>
      <w:sz w:val="40"/>
      <w:szCs w:val="40"/>
    </w:rPr>
  </w:style>
  <w:style w:type="character" w:customStyle="1" w:styleId="37">
    <w:name w:val="Heading 2 Char"/>
    <w:link w:val="3"/>
    <w:qFormat/>
    <w:uiPriority w:val="9"/>
    <w:rPr>
      <w:rFonts w:ascii="等线" w:hAnsi="等线" w:eastAsia="等线" w:cs="等线"/>
      <w:sz w:val="34"/>
    </w:rPr>
  </w:style>
  <w:style w:type="character" w:customStyle="1" w:styleId="38">
    <w:name w:val="Heading 3 Char"/>
    <w:link w:val="4"/>
    <w:qFormat/>
    <w:uiPriority w:val="9"/>
    <w:rPr>
      <w:rFonts w:ascii="等线" w:hAnsi="等线" w:eastAsia="等线" w:cs="等线"/>
      <w:sz w:val="30"/>
      <w:szCs w:val="30"/>
    </w:rPr>
  </w:style>
  <w:style w:type="character" w:customStyle="1" w:styleId="39">
    <w:name w:val="Heading 4 Char"/>
    <w:link w:val="5"/>
    <w:qFormat/>
    <w:uiPriority w:val="9"/>
    <w:rPr>
      <w:rFonts w:ascii="等线" w:hAnsi="等线" w:eastAsia="等线" w:cs="等线"/>
      <w:b/>
      <w:bCs/>
      <w:sz w:val="26"/>
      <w:szCs w:val="26"/>
    </w:rPr>
  </w:style>
  <w:style w:type="character" w:customStyle="1" w:styleId="40">
    <w:name w:val="Heading 5 Char"/>
    <w:link w:val="6"/>
    <w:qFormat/>
    <w:uiPriority w:val="9"/>
    <w:rPr>
      <w:rFonts w:ascii="等线" w:hAnsi="等线" w:eastAsia="等线" w:cs="等线"/>
      <w:b/>
      <w:bCs/>
      <w:sz w:val="24"/>
      <w:szCs w:val="24"/>
    </w:rPr>
  </w:style>
  <w:style w:type="character" w:customStyle="1" w:styleId="41">
    <w:name w:val="Heading 6 Char"/>
    <w:link w:val="7"/>
    <w:uiPriority w:val="9"/>
    <w:rPr>
      <w:rFonts w:ascii="等线" w:hAnsi="等线" w:eastAsia="等线" w:cs="等线"/>
      <w:b/>
      <w:bCs/>
      <w:sz w:val="22"/>
      <w:szCs w:val="22"/>
    </w:rPr>
  </w:style>
  <w:style w:type="character" w:customStyle="1" w:styleId="42">
    <w:name w:val="Heading 7 Char"/>
    <w:link w:val="8"/>
    <w:qFormat/>
    <w:uiPriority w:val="9"/>
    <w:rPr>
      <w:rFonts w:ascii="等线" w:hAnsi="等线" w:eastAsia="等线" w:cs="等线"/>
      <w:b/>
      <w:bCs/>
      <w:i/>
      <w:iCs/>
      <w:sz w:val="22"/>
      <w:szCs w:val="22"/>
    </w:rPr>
  </w:style>
  <w:style w:type="character" w:customStyle="1" w:styleId="43">
    <w:name w:val="Heading 8 Char"/>
    <w:link w:val="9"/>
    <w:qFormat/>
    <w:uiPriority w:val="9"/>
    <w:rPr>
      <w:rFonts w:ascii="等线" w:hAnsi="等线" w:eastAsia="等线" w:cs="等线"/>
      <w:i/>
      <w:iCs/>
      <w:sz w:val="22"/>
      <w:szCs w:val="22"/>
    </w:rPr>
  </w:style>
  <w:style w:type="character" w:customStyle="1" w:styleId="44">
    <w:name w:val="Heading 9 Char"/>
    <w:link w:val="10"/>
    <w:qFormat/>
    <w:uiPriority w:val="9"/>
    <w:rPr>
      <w:rFonts w:ascii="等线" w:hAnsi="等线" w:eastAsia="等线" w:cs="等线"/>
      <w:i/>
      <w:iCs/>
      <w:sz w:val="21"/>
      <w:szCs w:val="21"/>
    </w:rPr>
  </w:style>
  <w:style w:type="paragraph" w:styleId="45">
    <w:name w:val="No Spacing"/>
    <w:qFormat/>
    <w:uiPriority w:val="1"/>
    <w:pPr>
      <w:spacing w:before="0" w:after="0" w:line="240" w:lineRule="auto"/>
    </w:pPr>
    <w:rPr>
      <w:rFonts w:hint="default" w:ascii="Times New Roman" w:hAnsi="Times New Roman" w:eastAsia="宋体" w:cs="Times New Roman"/>
    </w:rPr>
  </w:style>
  <w:style w:type="character" w:customStyle="1" w:styleId="46">
    <w:name w:val="Title Char"/>
    <w:link w:val="29"/>
    <w:qFormat/>
    <w:uiPriority w:val="10"/>
    <w:rPr>
      <w:sz w:val="48"/>
      <w:szCs w:val="48"/>
    </w:rPr>
  </w:style>
  <w:style w:type="character" w:customStyle="1" w:styleId="47">
    <w:name w:val="Subtitle Char"/>
    <w:link w:val="22"/>
    <w:qFormat/>
    <w:uiPriority w:val="11"/>
    <w:rPr>
      <w:sz w:val="24"/>
      <w:szCs w:val="24"/>
    </w:rPr>
  </w:style>
  <w:style w:type="paragraph" w:styleId="48">
    <w:name w:val="Quote"/>
    <w:basedOn w:val="1"/>
    <w:next w:val="1"/>
    <w:link w:val="49"/>
    <w:qFormat/>
    <w:uiPriority w:val="29"/>
    <w:pPr>
      <w:ind w:left="720" w:right="720"/>
    </w:pPr>
    <w:rPr>
      <w:i/>
    </w:rPr>
  </w:style>
  <w:style w:type="character" w:customStyle="1" w:styleId="49">
    <w:name w:val="Quote Char"/>
    <w:link w:val="48"/>
    <w:qFormat/>
    <w:uiPriority w:val="29"/>
    <w:rPr>
      <w:i/>
    </w:rPr>
  </w:style>
  <w:style w:type="paragraph" w:styleId="50">
    <w:name w:val="Intense Quote"/>
    <w:basedOn w:val="1"/>
    <w:next w:val="1"/>
    <w:link w:val="51"/>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51">
    <w:name w:val="Intense Quote Char"/>
    <w:link w:val="50"/>
    <w:qFormat/>
    <w:uiPriority w:val="30"/>
    <w:rPr>
      <w:i/>
    </w:rPr>
  </w:style>
  <w:style w:type="character" w:customStyle="1" w:styleId="52">
    <w:name w:val="Caption Char"/>
    <w:link w:val="18"/>
    <w:qFormat/>
    <w:uiPriority w:val="99"/>
  </w:style>
  <w:style w:type="table" w:customStyle="1" w:styleId="53">
    <w:name w:val="Table Grid Light"/>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54">
    <w:name w:val="Plain Table 1"/>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2Vert"/>
    <w:tblStylePr w:type="band1Horz">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55">
    <w:name w:val="Plain Table 2"/>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56">
    <w:name w:val="Plain Table 3"/>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57">
    <w:name w:val="Plain Table 4"/>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58">
    <w:name w:val="Plain Table 5"/>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59">
    <w:name w:val="Grid Table 1 Light"/>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60">
    <w:name w:val="Grid Table 1 Light - Accent 1"/>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61">
    <w:name w:val="Grid Table 1 Light - Accent 2"/>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62">
    <w:name w:val="Grid Table 1 Light - Accent 3"/>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63">
    <w:name w:val="Grid Table 1 Light - Accent 4"/>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64">
    <w:name w:val="Grid Table 1 Light - Accent 5"/>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65">
    <w:name w:val="Grid Table 1 Light - Accent 6"/>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table" w:customStyle="1" w:styleId="66">
    <w:name w:val="Grid Table 2"/>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67">
    <w:name w:val="Grid Table 2 - Accent 1"/>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68">
    <w:name w:val="Grid Table 2 - Accent 2"/>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69">
    <w:name w:val="Grid Table 2 - Accent 3"/>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70">
    <w:name w:val="Grid Table 2 - Accent 4"/>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71">
    <w:name w:val="Grid Table 2 - Accent 5"/>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72">
    <w:name w:val="Grid Table 2 - Accent 6"/>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73">
    <w:name w:val="Grid Table 3"/>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74">
    <w:name w:val="Grid Table 3 - Accent 1"/>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75">
    <w:name w:val="Grid Table 3 - Accent 2"/>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76">
    <w:name w:val="Grid Table 3 - Accent 3"/>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77">
    <w:name w:val="Grid Table 3 - Accent 4"/>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78">
    <w:name w:val="Grid Table 3 - Accent 5"/>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79">
    <w:name w:val="Grid Table 3 - Accent 6"/>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80">
    <w:name w:val="Grid Table 4"/>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81">
    <w:name w:val="Grid Table 4 - Accent 1"/>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2Vert"/>
    <w:tblStylePr w:type="band1Horz">
      <w:rPr>
        <w:rFonts w:ascii="Arial" w:hAnsi="Arial"/>
        <w:color w:val="404040"/>
        <w:sz w:val="22"/>
      </w:rPr>
      <w:tcPr>
        <w:shd w:val="clear" w:color="DCE6F2" w:themeColor="accent1" w:themeTint="32" w:fill="DCE6F2" w:themeFill="accent1" w:themeFillTint="32"/>
      </w:tcPr>
    </w:tblStylePr>
    <w:tblStylePr w:type="band2Horz"/>
    <w:tblStylePr w:type="neCell"/>
    <w:tblStylePr w:type="nwCell"/>
    <w:tblStylePr w:type="seCell"/>
    <w:tblStylePr w:type="swCell"/>
  </w:style>
  <w:style w:type="table" w:customStyle="1" w:styleId="82">
    <w:name w:val="Grid Table 4 - Accent 2"/>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83">
    <w:name w:val="Grid Table 4 - Accent 3"/>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84">
    <w:name w:val="Grid Table 4 - Accent 4"/>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85">
    <w:name w:val="Grid Table 4 - Accent 5"/>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86">
    <w:name w:val="Grid Table 4 - Accent 6"/>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87">
    <w:name w:val="Grid Table 5 Dark"/>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2Vert"/>
    <w:tblStylePr w:type="band1Horz">
      <w:tcPr>
        <w:shd w:val="clear" w:color="898989" w:themeColor="text1" w:themeTint="75" w:fill="898989" w:themeFill="text1" w:themeFillTint="75"/>
      </w:tcPr>
    </w:tblStylePr>
    <w:tblStylePr w:type="band2Horz"/>
    <w:tblStylePr w:type="neCell"/>
    <w:tblStylePr w:type="nwCell"/>
    <w:tblStylePr w:type="seCell"/>
    <w:tblStylePr w:type="swCell"/>
  </w:style>
  <w:style w:type="table" w:customStyle="1" w:styleId="88">
    <w:name w:val="Grid Table 5 Dark- Accent 1"/>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2Vert"/>
    <w:tblStylePr w:type="band1Horz">
      <w:tcPr>
        <w:shd w:val="clear" w:color="AEC5E0" w:themeColor="accent1" w:themeTint="75" w:fill="AEC5E0" w:themeFill="accent1" w:themeFillTint="75"/>
      </w:tcPr>
    </w:tblStylePr>
    <w:tblStylePr w:type="band2Horz"/>
    <w:tblStylePr w:type="neCell"/>
    <w:tblStylePr w:type="nwCell"/>
    <w:tblStylePr w:type="seCell"/>
    <w:tblStylePr w:type="swCell"/>
  </w:style>
  <w:style w:type="table" w:customStyle="1" w:styleId="89">
    <w:name w:val="Grid Table 5 Dark - Accent 2"/>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2Vert"/>
    <w:tblStylePr w:type="band1Horz">
      <w:tcPr>
        <w:shd w:val="clear" w:color="E2AEAD" w:themeColor="accent2" w:themeTint="75" w:fill="E2AEAD" w:themeFill="accent2" w:themeFillTint="75"/>
      </w:tcPr>
    </w:tblStylePr>
    <w:tblStylePr w:type="band2Horz"/>
    <w:tblStylePr w:type="neCell"/>
    <w:tblStylePr w:type="nwCell"/>
    <w:tblStylePr w:type="seCell"/>
    <w:tblStylePr w:type="swCell"/>
  </w:style>
  <w:style w:type="table" w:customStyle="1" w:styleId="90">
    <w:name w:val="Grid Table 5 Dark - Accent 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2Vert"/>
    <w:tblStylePr w:type="band1Horz">
      <w:tcPr>
        <w:shd w:val="clear" w:color="D1DFB2" w:themeColor="accent3" w:themeTint="75" w:fill="D1DFB2" w:themeFill="accent3" w:themeFillTint="75"/>
      </w:tcPr>
    </w:tblStylePr>
    <w:tblStylePr w:type="band2Horz"/>
    <w:tblStylePr w:type="neCell"/>
    <w:tblStylePr w:type="nwCell"/>
    <w:tblStylePr w:type="seCell"/>
    <w:tblStylePr w:type="swCell"/>
  </w:style>
  <w:style w:type="table" w:customStyle="1" w:styleId="91">
    <w:name w:val="Grid Table 5 Dark- Accent 4"/>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2Vert"/>
    <w:tblStylePr w:type="band1Horz">
      <w:tcPr>
        <w:shd w:val="clear" w:color="C4B7D4" w:themeColor="accent4" w:themeTint="75" w:fill="C4B7D4" w:themeFill="accent4" w:themeFillTint="75"/>
      </w:tcPr>
    </w:tblStylePr>
    <w:tblStylePr w:type="band2Horz"/>
    <w:tblStylePr w:type="neCell"/>
    <w:tblStylePr w:type="nwCell"/>
    <w:tblStylePr w:type="seCell"/>
    <w:tblStylePr w:type="swCell"/>
  </w:style>
  <w:style w:type="table" w:customStyle="1" w:styleId="92">
    <w:name w:val="Grid Table 5 Dark - Accent 5"/>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2Vert"/>
    <w:tblStylePr w:type="band1Horz">
      <w:tcPr>
        <w:shd w:val="clear" w:color="ACD8E4" w:themeColor="accent5" w:themeTint="75" w:fill="ACD8E4" w:themeFill="accent5" w:themeFillTint="75"/>
      </w:tcPr>
    </w:tblStylePr>
    <w:tblStylePr w:type="band2Horz"/>
    <w:tblStylePr w:type="neCell"/>
    <w:tblStylePr w:type="nwCell"/>
    <w:tblStylePr w:type="seCell"/>
    <w:tblStylePr w:type="swCell"/>
  </w:style>
  <w:style w:type="table" w:customStyle="1" w:styleId="93">
    <w:name w:val="Grid Table 5 Dark - Accent 6"/>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2Vert"/>
    <w:tblStylePr w:type="band1Horz">
      <w:tcPr>
        <w:shd w:val="clear" w:color="FBCEAA" w:themeColor="accent6" w:themeTint="75" w:fill="FBCEAA" w:themeFill="accent6" w:themeFillTint="75"/>
      </w:tcPr>
    </w:tblStylePr>
    <w:tblStylePr w:type="band2Horz"/>
    <w:tblStylePr w:type="neCell"/>
    <w:tblStylePr w:type="nwCell"/>
    <w:tblStylePr w:type="seCell"/>
    <w:tblStylePr w:type="swCell"/>
  </w:style>
  <w:style w:type="table" w:customStyle="1" w:styleId="94">
    <w:name w:val="Grid Table 6 Colorful"/>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95">
    <w:name w:val="Grid Table 6 Colorful - Accent 1"/>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96">
    <w:name w:val="Grid Table 6 Colorful - Accent 2"/>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97">
    <w:name w:val="Grid Table 6 Colorful - Accent 3"/>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98">
    <w:name w:val="Grid Table 6 Colorful - Accent 4"/>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99">
    <w:name w:val="Grid Table 6 Colorful - Accent 5"/>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00">
    <w:name w:val="Grid Table 6 Colorful - Accent 6"/>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2Vert"/>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01">
    <w:name w:val="Grid Table 7 Colorful"/>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02">
    <w:name w:val="Grid Table 7 Colorful - Accent 1"/>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103">
    <w:name w:val="Grid Table 7 Colorful - Accent 2"/>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04">
    <w:name w:val="Grid Table 7 Colorful - Accent 3"/>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105">
    <w:name w:val="Grid Table 7 Colorful - Accent 4"/>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06">
    <w:name w:val="Grid Table 7 Colorful - Accent 5"/>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107">
    <w:name w:val="Grid Table 7 Colorful - Accent 6"/>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2Vert"/>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tblStylePr w:type="neCell"/>
    <w:tblStylePr w:type="nwCell"/>
    <w:tblStylePr w:type="seCell"/>
    <w:tblStylePr w:type="swCell"/>
  </w:style>
  <w:style w:type="table" w:customStyle="1" w:styleId="108">
    <w:name w:val="List Table 1 Ligh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2Vert"/>
    <w:tblStylePr w:type="band1Horz">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09">
    <w:name w:val="List Table 1 Light - Accent 1"/>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2Vert"/>
    <w:tblStylePr w:type="band1Horz">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10">
    <w:name w:val="List Table 1 Light - Accent 2"/>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2Vert"/>
    <w:tblStylePr w:type="band1Horz">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11">
    <w:name w:val="List Table 1 Light - Accent 3"/>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2Vert"/>
    <w:tblStylePr w:type="band1Horz">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12">
    <w:name w:val="List Table 1 Light - Accent 4"/>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2Vert"/>
    <w:tblStylePr w:type="band1Horz">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13">
    <w:name w:val="List Table 1 Light - Accent 5"/>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2Vert"/>
    <w:tblStylePr w:type="band1Horz">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14">
    <w:name w:val="List Table 1 Light - Accent 6"/>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2Vert"/>
    <w:tblStylePr w:type="band1Horz">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15">
    <w:name w:val="List Table 2"/>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16">
    <w:name w:val="List Table 2 - Accent 1"/>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17">
    <w:name w:val="List Table 2 - Accent 2"/>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18">
    <w:name w:val="List Table 2 - Accent 3"/>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19">
    <w:name w:val="List Table 2 - Accent 4"/>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20">
    <w:name w:val="List Table 2 - Accent 5"/>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21">
    <w:name w:val="List Table 2 - Accent 6"/>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22">
    <w:name w:val="List Table 3"/>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23">
    <w:name w:val="List Table 3 - Accent 1"/>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2Vert"/>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2Horz"/>
    <w:tblStylePr w:type="neCell"/>
    <w:tblStylePr w:type="nwCell"/>
    <w:tblStylePr w:type="seCell"/>
    <w:tblStylePr w:type="swCell"/>
  </w:style>
  <w:style w:type="table" w:customStyle="1" w:styleId="124">
    <w:name w:val="List Table 3 - Accent 2"/>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2Vert"/>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tblStylePr w:type="band2Horz"/>
    <w:tblStylePr w:type="neCell"/>
    <w:tblStylePr w:type="nwCell"/>
    <w:tblStylePr w:type="seCell"/>
    <w:tblStylePr w:type="swCell"/>
  </w:style>
  <w:style w:type="table" w:customStyle="1" w:styleId="125">
    <w:name w:val="List Table 3 - Accent 3"/>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2Vert"/>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tblStylePr w:type="band2Horz"/>
    <w:tblStylePr w:type="neCell"/>
    <w:tblStylePr w:type="nwCell"/>
    <w:tblStylePr w:type="seCell"/>
    <w:tblStylePr w:type="swCell"/>
  </w:style>
  <w:style w:type="table" w:customStyle="1" w:styleId="126">
    <w:name w:val="List Table 3 - Accent 4"/>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2Vert"/>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2Horz"/>
    <w:tblStylePr w:type="neCell"/>
    <w:tblStylePr w:type="nwCell"/>
    <w:tblStylePr w:type="seCell"/>
    <w:tblStylePr w:type="swCell"/>
  </w:style>
  <w:style w:type="table" w:customStyle="1" w:styleId="127">
    <w:name w:val="List Table 3 - Accent 5"/>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2Vert"/>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2Horz"/>
    <w:tblStylePr w:type="neCell"/>
    <w:tblStylePr w:type="nwCell"/>
    <w:tblStylePr w:type="seCell"/>
    <w:tblStylePr w:type="swCell"/>
  </w:style>
  <w:style w:type="table" w:customStyle="1" w:styleId="128">
    <w:name w:val="List Table 3 - Accent 6"/>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2Vert"/>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2Horz"/>
    <w:tblStylePr w:type="neCell"/>
    <w:tblStylePr w:type="nwCell"/>
    <w:tblStylePr w:type="seCell"/>
    <w:tblStylePr w:type="swCell"/>
  </w:style>
  <w:style w:type="table" w:customStyle="1" w:styleId="129">
    <w:name w:val="List Table 4"/>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30">
    <w:name w:val="List Table 4 - Accent 1"/>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31">
    <w:name w:val="List Table 4 - Accent 2"/>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32">
    <w:name w:val="List Table 4 - Accent 3"/>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33">
    <w:name w:val="List Table 4 - Accent 4"/>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34">
    <w:name w:val="List Table 4 - Accent 5"/>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35">
    <w:name w:val="List Table 4 - Accent 6"/>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36">
    <w:name w:val="List Table 5 Dark"/>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StylePr w:type="nwCell"/>
    <w:tblStylePr w:type="seCell"/>
    <w:tblStylePr w:type="swCell"/>
  </w:style>
  <w:style w:type="table" w:customStyle="1" w:styleId="137">
    <w:name w:val="List Table 5 Dark - Accent 1"/>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tblStylePr w:type="neCell"/>
    <w:tblStylePr w:type="nwCell"/>
    <w:tblStylePr w:type="seCell"/>
    <w:tblStylePr w:type="swCell"/>
  </w:style>
  <w:style w:type="table" w:customStyle="1" w:styleId="138">
    <w:name w:val="List Table 5 Dark - Accent 2"/>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neCell"/>
    <w:tblStylePr w:type="nwCell"/>
    <w:tblStylePr w:type="seCell"/>
    <w:tblStylePr w:type="swCell"/>
  </w:style>
  <w:style w:type="table" w:customStyle="1" w:styleId="139">
    <w:name w:val="List Table 5 Dark - Accent 3"/>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neCell"/>
    <w:tblStylePr w:type="nwCell"/>
    <w:tblStylePr w:type="seCell"/>
    <w:tblStylePr w:type="swCell"/>
  </w:style>
  <w:style w:type="table" w:customStyle="1" w:styleId="140">
    <w:name w:val="List Table 5 Dark - Accent 4"/>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neCell"/>
    <w:tblStylePr w:type="nwCell"/>
    <w:tblStylePr w:type="seCell"/>
    <w:tblStylePr w:type="swCell"/>
  </w:style>
  <w:style w:type="table" w:customStyle="1" w:styleId="141">
    <w:name w:val="List Table 5 Dark - Accent 5"/>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neCell"/>
    <w:tblStylePr w:type="nwCell"/>
    <w:tblStylePr w:type="seCell"/>
    <w:tblStylePr w:type="swCell"/>
  </w:style>
  <w:style w:type="table" w:customStyle="1" w:styleId="142">
    <w:name w:val="List Table 5 Dark - Accent 6"/>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neCell"/>
    <w:tblStylePr w:type="nwCell"/>
    <w:tblStylePr w:type="seCell"/>
    <w:tblStylePr w:type="swCell"/>
  </w:style>
  <w:style w:type="table" w:customStyle="1" w:styleId="143">
    <w:name w:val="List Table 6 Colorful"/>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2Vert"/>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44">
    <w:name w:val="List Table 6 Colorful - Accent 1"/>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45">
    <w:name w:val="List Table 6 Colorful - Accent 2"/>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46">
    <w:name w:val="List Table 6 Colorful - Accent 3"/>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47">
    <w:name w:val="List Table 6 Colorful - Accent 4"/>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48">
    <w:name w:val="List Table 6 Colorful - Accent 5"/>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49">
    <w:name w:val="List Table 6 Colorful - Accent 6"/>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50">
    <w:name w:val="List Table 7 Colorful"/>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51">
    <w:name w:val="List Table 7 Colorful - Accent 1"/>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52">
    <w:name w:val="List Table 7 Colorful - Accent 2"/>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53">
    <w:name w:val="List Table 7 Colorful - Accent 3"/>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54">
    <w:name w:val="List Table 7 Colorful - Accent 4"/>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55">
    <w:name w:val="List Table 7 Colorful - Accent 5"/>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56">
    <w:name w:val="List Table 7 Colorful - Accent 6"/>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57">
    <w:name w:val="Lined - Accen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58">
    <w:name w:val="Lined - Accent 1"/>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59">
    <w:name w:val="Lined - Accent 2"/>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60">
    <w:name w:val="Lined - Accent 3"/>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61">
    <w:name w:val="Lined - Accent 4"/>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62">
    <w:name w:val="Lined - Accent 5"/>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63">
    <w:name w:val="Lined - Accent 6"/>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64">
    <w:name w:val="Bordered &amp; Lined - Accen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65">
    <w:name w:val="Bordered &amp; Lined - Accent 1"/>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66">
    <w:name w:val="Bordered &amp; Lined - Accent 2"/>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67">
    <w:name w:val="Bordered &amp; Lined - Accent 3"/>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68">
    <w:name w:val="Bordered &amp; Lined - Accent 4"/>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69">
    <w:name w:val="Bordered &amp; Lined - Accent 5"/>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70">
    <w:name w:val="Bordered &amp; Lined - Accent 6"/>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71">
    <w:name w:val="Bordered"/>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72">
    <w:name w:val="Bordered - Accent 1"/>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173">
    <w:name w:val="Bordered - Accent 2"/>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174">
    <w:name w:val="Bordered - Accent 3"/>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175">
    <w:name w:val="Bordered - Accent 4"/>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176">
    <w:name w:val="Bordered - Accent 5"/>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177">
    <w:name w:val="Bordered - Accent 6"/>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character" w:customStyle="1" w:styleId="178">
    <w:name w:val="Footnote Text Char"/>
    <w:link w:val="23"/>
    <w:uiPriority w:val="99"/>
    <w:rPr>
      <w:sz w:val="18"/>
    </w:rPr>
  </w:style>
  <w:style w:type="character" w:customStyle="1" w:styleId="179">
    <w:name w:val="Endnote Text Char"/>
    <w:link w:val="17"/>
    <w:uiPriority w:val="99"/>
    <w:rPr>
      <w:sz w:val="20"/>
    </w:rPr>
  </w:style>
  <w:style w:type="paragraph" w:customStyle="1" w:styleId="180">
    <w:name w:val="TOC Heading"/>
    <w:unhideWhenUsed/>
    <w:uiPriority w:val="39"/>
    <w:rPr>
      <w:rFonts w:hint="default" w:ascii="Times New Roman" w:hAnsi="Times New Roman" w:eastAsia="宋体" w:cs="Times New Roman"/>
    </w:rPr>
  </w:style>
  <w:style w:type="paragraph" w:customStyle="1" w:styleId="181">
    <w:name w:val="标题 11"/>
    <w:basedOn w:val="1"/>
    <w:next w:val="1"/>
    <w:uiPriority w:val="0"/>
    <w:pPr>
      <w:keepNext w:val="0"/>
      <w:keepLines w:val="0"/>
      <w:spacing w:line="590" w:lineRule="exact"/>
      <w:jc w:val="center"/>
      <w:outlineLvl w:val="0"/>
    </w:pPr>
    <w:rPr>
      <w:rFonts w:ascii="Times New Roman" w:hAnsi="Times New Roman" w:eastAsia="方正小标宋_GBK"/>
      <w:bCs/>
      <w:sz w:val="44"/>
      <w:szCs w:val="44"/>
    </w:rPr>
  </w:style>
  <w:style w:type="paragraph" w:customStyle="1" w:styleId="182">
    <w:name w:val="标题 21"/>
    <w:basedOn w:val="1"/>
    <w:next w:val="1"/>
    <w:link w:val="187"/>
    <w:qFormat/>
    <w:uiPriority w:val="0"/>
    <w:pPr>
      <w:keepNext w:val="0"/>
      <w:keepLines w:val="0"/>
      <w:spacing w:line="590" w:lineRule="exact"/>
      <w:ind w:firstLine="640"/>
      <w:outlineLvl w:val="1"/>
    </w:pPr>
    <w:rPr>
      <w:rFonts w:ascii="Arial" w:hAnsi="Arial" w:eastAsia="黑体"/>
      <w:bCs/>
      <w:szCs w:val="32"/>
    </w:rPr>
  </w:style>
  <w:style w:type="paragraph" w:customStyle="1" w:styleId="183">
    <w:name w:val="标题 31"/>
    <w:basedOn w:val="1"/>
    <w:next w:val="1"/>
    <w:link w:val="188"/>
    <w:uiPriority w:val="0"/>
    <w:pPr>
      <w:keepNext/>
      <w:keepLines/>
      <w:spacing w:line="590" w:lineRule="exact"/>
      <w:ind w:firstLine="640"/>
      <w:outlineLvl w:val="2"/>
    </w:pPr>
    <w:rPr>
      <w:rFonts w:ascii="Times New Roman" w:hAnsi="Times New Roman" w:eastAsia="方正楷体_GBK"/>
      <w:bCs/>
      <w:szCs w:val="32"/>
    </w:rPr>
  </w:style>
  <w:style w:type="paragraph" w:customStyle="1" w:styleId="184">
    <w:name w:val="标题 41"/>
    <w:basedOn w:val="1"/>
    <w:next w:val="1"/>
    <w:link w:val="189"/>
    <w:qFormat/>
    <w:uiPriority w:val="0"/>
    <w:pPr>
      <w:keepNext/>
      <w:keepLines/>
      <w:spacing w:line="590" w:lineRule="exact"/>
      <w:ind w:firstLine="640"/>
      <w:outlineLvl w:val="3"/>
    </w:pPr>
    <w:rPr>
      <w:rFonts w:ascii="Arial" w:hAnsi="Arial" w:eastAsia="方正仿宋_GBK" w:cs="Arial"/>
      <w:b/>
      <w:bCs/>
      <w:szCs w:val="28"/>
    </w:rPr>
  </w:style>
  <w:style w:type="character" w:customStyle="1" w:styleId="185">
    <w:name w:val="默认段落字体1"/>
    <w:link w:val="1"/>
    <w:semiHidden/>
    <w:uiPriority w:val="0"/>
  </w:style>
  <w:style w:type="table" w:customStyle="1" w:styleId="186">
    <w:name w:val="普通表格1"/>
    <w:semiHidden/>
    <w:uiPriority w:val="0"/>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customStyle="1" w:styleId="187">
    <w:name w:val="标题 2 Char"/>
    <w:link w:val="182"/>
    <w:uiPriority w:val="0"/>
    <w:rPr>
      <w:rFonts w:ascii="Arial" w:hAnsi="Arial" w:eastAsia="黑体"/>
      <w:bCs/>
      <w:szCs w:val="32"/>
    </w:rPr>
  </w:style>
  <w:style w:type="character" w:customStyle="1" w:styleId="188">
    <w:name w:val="标题 3 Char"/>
    <w:basedOn w:val="185"/>
    <w:link w:val="183"/>
    <w:uiPriority w:val="0"/>
    <w:rPr>
      <w:rFonts w:ascii="Times New Roman" w:hAnsi="Times New Roman" w:eastAsia="方正楷体_GBK"/>
      <w:bCs/>
      <w:szCs w:val="32"/>
    </w:rPr>
  </w:style>
  <w:style w:type="character" w:customStyle="1" w:styleId="189">
    <w:name w:val="标题 4 Char"/>
    <w:link w:val="184"/>
    <w:uiPriority w:val="0"/>
    <w:rPr>
      <w:rFonts w:ascii="Arial" w:hAnsi="Arial" w:eastAsia="方正仿宋_GBK" w:cs="Arial"/>
      <w:b/>
      <w:bCs/>
      <w:sz w:val="32"/>
      <w:szCs w:val="28"/>
    </w:rPr>
  </w:style>
  <w:style w:type="paragraph" w:customStyle="1" w:styleId="190">
    <w:name w:val="批注文字1"/>
    <w:unhideWhenUsed/>
    <w:qFormat/>
    <w:uiPriority w:val="0"/>
    <w:pPr>
      <w:widowControl w:val="0"/>
    </w:pPr>
    <w:rPr>
      <w:rFonts w:hint="default" w:ascii="Times New Roman" w:hAnsi="Times New Roman" w:eastAsia="仿宋_GB2312" w:cs="Times New Roman"/>
      <w:sz w:val="32"/>
      <w:szCs w:val="24"/>
      <w:lang w:val="en-US" w:eastAsia="zh-CN" w:bidi="ar-SA"/>
    </w:rPr>
  </w:style>
  <w:style w:type="paragraph" w:customStyle="1" w:styleId="191">
    <w:name w:val="正文文本1"/>
    <w:basedOn w:val="1"/>
    <w:uiPriority w:val="0"/>
    <w:pPr>
      <w:spacing w:after="120"/>
    </w:pPr>
    <w:rPr>
      <w:rFonts w:eastAsia="宋体"/>
      <w:sz w:val="21"/>
    </w:rPr>
  </w:style>
  <w:style w:type="paragraph" w:customStyle="1" w:styleId="192">
    <w:name w:val="正文文本缩进1"/>
    <w:basedOn w:val="1"/>
    <w:qFormat/>
    <w:uiPriority w:val="0"/>
    <w:pPr>
      <w:spacing w:after="120"/>
      <w:ind w:left="420"/>
    </w:pPr>
  </w:style>
  <w:style w:type="paragraph" w:customStyle="1" w:styleId="193">
    <w:name w:val="目录 31"/>
    <w:basedOn w:val="1"/>
    <w:next w:val="1"/>
    <w:qFormat/>
    <w:uiPriority w:val="0"/>
    <w:pPr>
      <w:ind w:left="420"/>
      <w:jc w:val="left"/>
    </w:pPr>
    <w:rPr>
      <w:rFonts w:ascii="等线" w:hAnsi="Calibri" w:eastAsia="等线"/>
      <w:i/>
      <w:iCs/>
      <w:sz w:val="20"/>
      <w:szCs w:val="20"/>
    </w:rPr>
  </w:style>
  <w:style w:type="paragraph" w:customStyle="1" w:styleId="194">
    <w:name w:val="纯文本1"/>
    <w:basedOn w:val="1"/>
    <w:uiPriority w:val="0"/>
    <w:pPr>
      <w:widowControl/>
      <w:spacing w:before="100" w:beforeAutospacing="1" w:after="100" w:afterAutospacing="1"/>
      <w:jc w:val="left"/>
    </w:pPr>
    <w:rPr>
      <w:rFonts w:ascii="宋体" w:hAnsi="宋体" w:cs="宋体"/>
      <w:sz w:val="24"/>
    </w:rPr>
  </w:style>
  <w:style w:type="paragraph" w:customStyle="1" w:styleId="195">
    <w:name w:val="日期1"/>
    <w:basedOn w:val="1"/>
    <w:next w:val="1"/>
    <w:uiPriority w:val="0"/>
    <w:pPr>
      <w:ind w:left="100"/>
    </w:pPr>
  </w:style>
  <w:style w:type="paragraph" w:customStyle="1" w:styleId="196">
    <w:name w:val="正文文本缩进 21"/>
    <w:basedOn w:val="1"/>
    <w:qFormat/>
    <w:uiPriority w:val="0"/>
    <w:pPr>
      <w:spacing w:after="120" w:line="480" w:lineRule="auto"/>
      <w:ind w:left="420"/>
    </w:pPr>
  </w:style>
  <w:style w:type="paragraph" w:customStyle="1" w:styleId="197">
    <w:name w:val="批注框文本1"/>
    <w:basedOn w:val="1"/>
    <w:link w:val="198"/>
    <w:semiHidden/>
    <w:uiPriority w:val="0"/>
    <w:rPr>
      <w:rFonts w:ascii="Calibri" w:hAnsi="Calibri" w:eastAsia="宋体"/>
      <w:sz w:val="18"/>
      <w:szCs w:val="18"/>
    </w:rPr>
  </w:style>
  <w:style w:type="character" w:customStyle="1" w:styleId="198">
    <w:name w:val="Balloon Text Char"/>
    <w:basedOn w:val="185"/>
    <w:link w:val="197"/>
    <w:semiHidden/>
    <w:uiPriority w:val="0"/>
    <w:rPr>
      <w:rFonts w:ascii="Calibri" w:hAnsi="Calibri" w:eastAsia="宋体"/>
      <w:sz w:val="18"/>
      <w:szCs w:val="18"/>
      <w:lang w:val="en-US" w:eastAsia="zh-CN" w:bidi="ar-SA"/>
    </w:rPr>
  </w:style>
  <w:style w:type="paragraph" w:customStyle="1" w:styleId="199">
    <w:name w:val="页脚1"/>
    <w:basedOn w:val="1"/>
    <w:link w:val="200"/>
    <w:uiPriority w:val="0"/>
    <w:pPr>
      <w:tabs>
        <w:tab w:val="center" w:pos="4153"/>
        <w:tab w:val="right" w:pos="8306"/>
      </w:tabs>
      <w:jc w:val="left"/>
    </w:pPr>
    <w:rPr>
      <w:sz w:val="18"/>
      <w:szCs w:val="18"/>
    </w:rPr>
  </w:style>
  <w:style w:type="character" w:customStyle="1" w:styleId="200">
    <w:name w:val="Footer Char"/>
    <w:basedOn w:val="185"/>
    <w:link w:val="199"/>
    <w:semiHidden/>
    <w:uiPriority w:val="0"/>
    <w:rPr>
      <w:rFonts w:eastAsia="仿宋_GB2312"/>
      <w:sz w:val="18"/>
      <w:szCs w:val="18"/>
      <w:lang w:val="en-US" w:eastAsia="zh-CN" w:bidi="ar-SA"/>
    </w:rPr>
  </w:style>
  <w:style w:type="paragraph" w:customStyle="1" w:styleId="201">
    <w:name w:val="页眉1"/>
    <w:basedOn w:val="1"/>
    <w:link w:val="202"/>
    <w:uiPriority w:val="0"/>
    <w:pPr>
      <w:pBdr>
        <w:bottom w:val="single" w:color="000000" w:sz="6" w:space="1"/>
      </w:pBdr>
      <w:tabs>
        <w:tab w:val="center" w:pos="4153"/>
        <w:tab w:val="right" w:pos="8306"/>
      </w:tabs>
      <w:jc w:val="center"/>
    </w:pPr>
    <w:rPr>
      <w:sz w:val="18"/>
      <w:szCs w:val="18"/>
    </w:rPr>
  </w:style>
  <w:style w:type="character" w:customStyle="1" w:styleId="202">
    <w:name w:val="Header Char"/>
    <w:basedOn w:val="185"/>
    <w:link w:val="201"/>
    <w:semiHidden/>
    <w:uiPriority w:val="0"/>
    <w:rPr>
      <w:rFonts w:eastAsia="仿宋_GB2312"/>
      <w:sz w:val="18"/>
      <w:szCs w:val="18"/>
      <w:lang w:val="en-US" w:eastAsia="zh-CN" w:bidi="ar-SA"/>
    </w:rPr>
  </w:style>
  <w:style w:type="paragraph" w:customStyle="1" w:styleId="203">
    <w:name w:val="目录 11"/>
    <w:basedOn w:val="1"/>
    <w:next w:val="1"/>
    <w:unhideWhenUsed/>
    <w:uiPriority w:val="0"/>
    <w:pPr>
      <w:tabs>
        <w:tab w:val="left" w:pos="420"/>
      </w:tabs>
      <w:spacing w:before="120" w:after="120"/>
    </w:pPr>
    <w:rPr>
      <w:rFonts w:ascii="Calibri" w:hAnsi="Calibri" w:eastAsia="宋体"/>
      <w:sz w:val="28"/>
      <w:szCs w:val="22"/>
    </w:rPr>
  </w:style>
  <w:style w:type="paragraph" w:customStyle="1" w:styleId="204">
    <w:name w:val="副标题1"/>
    <w:basedOn w:val="1"/>
    <w:next w:val="1"/>
    <w:uiPriority w:val="0"/>
    <w:pPr>
      <w:spacing w:before="240" w:after="60" w:line="312" w:lineRule="auto"/>
      <w:jc w:val="center"/>
      <w:outlineLvl w:val="1"/>
    </w:pPr>
    <w:rPr>
      <w:rFonts w:ascii="等线 Light" w:hAnsi="等线 Light" w:eastAsia="宋体"/>
      <w:b/>
      <w:bCs/>
      <w:szCs w:val="32"/>
    </w:rPr>
  </w:style>
  <w:style w:type="paragraph" w:customStyle="1" w:styleId="205">
    <w:name w:val="目录 21"/>
    <w:basedOn w:val="1"/>
    <w:next w:val="1"/>
    <w:unhideWhenUsed/>
    <w:uiPriority w:val="0"/>
    <w:pPr>
      <w:tabs>
        <w:tab w:val="left" w:pos="420"/>
      </w:tabs>
      <w:spacing w:before="120" w:after="120"/>
      <w:ind w:left="420"/>
    </w:pPr>
    <w:rPr>
      <w:rFonts w:ascii="Calibri" w:hAnsi="Calibri" w:eastAsia="宋体"/>
      <w:sz w:val="28"/>
      <w:szCs w:val="22"/>
    </w:rPr>
  </w:style>
  <w:style w:type="paragraph" w:customStyle="1" w:styleId="206">
    <w:name w:val="普通(网站)11"/>
    <w:basedOn w:val="1"/>
    <w:qFormat/>
    <w:uiPriority w:val="0"/>
    <w:pPr>
      <w:spacing w:beforeAutospacing="1" w:afterAutospacing="1"/>
      <w:jc w:val="left"/>
    </w:pPr>
    <w:rPr>
      <w:rFonts w:ascii="Calibri" w:hAnsi="Calibri" w:eastAsia="宋体"/>
      <w:sz w:val="24"/>
      <w:szCs w:val="22"/>
    </w:rPr>
  </w:style>
  <w:style w:type="paragraph" w:customStyle="1" w:styleId="207">
    <w:name w:val="标题1"/>
    <w:basedOn w:val="1"/>
    <w:next w:val="1"/>
    <w:uiPriority w:val="0"/>
    <w:pPr>
      <w:spacing w:before="240" w:after="60"/>
      <w:jc w:val="center"/>
      <w:outlineLvl w:val="0"/>
    </w:pPr>
    <w:rPr>
      <w:rFonts w:ascii="等线 Light" w:hAnsi="等线 Light" w:eastAsia="宋体"/>
      <w:b/>
      <w:bCs/>
      <w:szCs w:val="32"/>
    </w:rPr>
  </w:style>
  <w:style w:type="paragraph" w:customStyle="1" w:styleId="208">
    <w:name w:val="正文首行缩进1"/>
    <w:basedOn w:val="191"/>
    <w:uiPriority w:val="0"/>
    <w:pPr>
      <w:spacing w:after="120" w:line="240" w:lineRule="auto"/>
      <w:ind w:firstLine="420"/>
      <w:jc w:val="both"/>
    </w:pPr>
    <w:rPr>
      <w:rFonts w:eastAsia="华文新魏"/>
      <w:sz w:val="24"/>
    </w:rPr>
  </w:style>
  <w:style w:type="paragraph" w:customStyle="1" w:styleId="209">
    <w:name w:val="正文首行缩进 21"/>
    <w:basedOn w:val="192"/>
    <w:qFormat/>
    <w:uiPriority w:val="0"/>
    <w:pPr>
      <w:ind w:firstLine="420"/>
    </w:pPr>
    <w:rPr>
      <w:rFonts w:ascii="Calibri" w:hAnsi="Calibri" w:eastAsia="宋体"/>
      <w:sz w:val="21"/>
      <w:szCs w:val="22"/>
    </w:rPr>
  </w:style>
  <w:style w:type="table" w:customStyle="1" w:styleId="210">
    <w:name w:val="网格型1"/>
    <w:basedOn w:val="186"/>
    <w:uiPriority w:val="0"/>
    <w:pPr>
      <w:widowControl w:val="0"/>
      <w:jc w:val="both"/>
    </w:p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customStyle="1" w:styleId="211">
    <w:name w:val="要点1"/>
    <w:basedOn w:val="185"/>
    <w:link w:val="1"/>
    <w:uiPriority w:val="0"/>
    <w:rPr>
      <w:b/>
      <w:bCs/>
    </w:rPr>
  </w:style>
  <w:style w:type="character" w:customStyle="1" w:styleId="212">
    <w:name w:val="页码1"/>
    <w:basedOn w:val="185"/>
    <w:link w:val="1"/>
    <w:uiPriority w:val="0"/>
  </w:style>
  <w:style w:type="character" w:customStyle="1" w:styleId="213">
    <w:name w:val="超链接1"/>
    <w:basedOn w:val="185"/>
    <w:link w:val="1"/>
    <w:unhideWhenUsed/>
    <w:uiPriority w:val="0"/>
    <w:rPr>
      <w:rFonts w:ascii="Times New Roman" w:hAnsi="Times New Roman" w:eastAsia="宋体" w:cs="Times New Roman"/>
      <w:color w:val="0000FF"/>
      <w:u w:val="single"/>
    </w:rPr>
  </w:style>
  <w:style w:type="paragraph" w:styleId="214">
    <w:name w:val="List Paragraph"/>
    <w:basedOn w:val="1"/>
    <w:qFormat/>
    <w:uiPriority w:val="0"/>
    <w:pPr>
      <w:ind w:firstLine="420"/>
    </w:pPr>
    <w:rPr>
      <w:rFonts w:ascii="Calibri" w:hAnsi="Calibri" w:eastAsia="宋体"/>
      <w:sz w:val="21"/>
      <w:szCs w:val="22"/>
    </w:rPr>
  </w:style>
  <w:style w:type="paragraph" w:customStyle="1" w:styleId="215">
    <w:name w:val="content"/>
    <w:basedOn w:val="1"/>
    <w:qFormat/>
    <w:uiPriority w:val="0"/>
    <w:pPr>
      <w:widowControl/>
      <w:spacing w:before="100" w:beforeAutospacing="1" w:after="100" w:afterAutospacing="1"/>
      <w:jc w:val="left"/>
    </w:pPr>
    <w:rPr>
      <w:rFonts w:ascii="宋体" w:hAnsi="宋体" w:eastAsia="宋体" w:cs="宋体"/>
      <w:sz w:val="24"/>
    </w:rPr>
  </w:style>
  <w:style w:type="paragraph" w:customStyle="1" w:styleId="216">
    <w:name w:val="p0"/>
    <w:basedOn w:val="1"/>
    <w:qFormat/>
    <w:uiPriority w:val="0"/>
    <w:pPr>
      <w:widowControl/>
    </w:pPr>
    <w:rPr>
      <w:szCs w:val="21"/>
    </w:rPr>
  </w:style>
  <w:style w:type="character" w:customStyle="1" w:styleId="217">
    <w:name w:val="fontstyle31"/>
    <w:basedOn w:val="185"/>
    <w:link w:val="1"/>
    <w:qFormat/>
    <w:uiPriority w:val="0"/>
    <w:rPr>
      <w:rFonts w:hint="eastAsia" w:ascii="仿宋" w:hAnsi="仿宋" w:eastAsia="仿宋" w:cs="仿宋"/>
      <w:color w:val="000000"/>
      <w:sz w:val="22"/>
      <w:szCs w:val="22"/>
    </w:rPr>
  </w:style>
  <w:style w:type="paragraph" w:customStyle="1" w:styleId="218">
    <w:name w:val="列出段落"/>
    <w:basedOn w:val="1"/>
    <w:qFormat/>
    <w:uiPriority w:val="0"/>
    <w:pPr>
      <w:ind w:firstLine="420"/>
    </w:pPr>
    <w:rPr>
      <w:rFonts w:eastAsia="宋体"/>
      <w:sz w:val="21"/>
      <w:szCs w:val="20"/>
    </w:rPr>
  </w:style>
  <w:style w:type="paragraph" w:customStyle="1" w:styleId="219">
    <w:name w:val="Body text|1"/>
    <w:basedOn w:val="1"/>
    <w:qFormat/>
    <w:uiPriority w:val="0"/>
    <w:pPr>
      <w:spacing w:line="470" w:lineRule="auto"/>
      <w:ind w:firstLine="400"/>
    </w:pPr>
    <w:rPr>
      <w:rFonts w:ascii="宋体" w:hAnsi="宋体" w:eastAsia="宋体" w:cs="宋体"/>
      <w:sz w:val="28"/>
      <w:szCs w:val="28"/>
      <w:lang w:val="zh-TW" w:eastAsia="zh-TW" w:bidi="zh-TW"/>
    </w:rPr>
  </w:style>
  <w:style w:type="paragraph" w:customStyle="1" w:styleId="220">
    <w:name w:val="普通(网站)1"/>
    <w:basedOn w:val="1"/>
    <w:qFormat/>
    <w:uiPriority w:val="0"/>
    <w:pPr>
      <w:spacing w:before="100" w:beforeAutospacing="1" w:after="100" w:afterAutospacing="1"/>
      <w:jc w:val="left"/>
    </w:pPr>
    <w:rPr>
      <w:rFonts w:ascii="Calibri" w:hAnsi="Calibri" w:eastAsia="宋体" w:cs="Calibri"/>
      <w:color w:val="000000"/>
      <w:sz w:val="24"/>
    </w:rPr>
  </w:style>
  <w:style w:type="paragraph" w:customStyle="1" w:styleId="221">
    <w:name w:val="p15"/>
    <w:basedOn w:val="1"/>
    <w:qFormat/>
    <w:uiPriority w:val="0"/>
    <w:pPr>
      <w:widowControl/>
    </w:pPr>
    <w:rPr>
      <w:rFonts w:ascii="Calibri" w:hAnsi="Calibri" w:eastAsia="宋体" w:cs="宋体"/>
      <w:sz w:val="21"/>
      <w:szCs w:val="21"/>
    </w:rPr>
  </w:style>
  <w:style w:type="paragraph" w:customStyle="1" w:styleId="222">
    <w:name w:val="p18"/>
    <w:basedOn w:val="1"/>
    <w:qFormat/>
    <w:uiPriority w:val="0"/>
    <w:pPr>
      <w:widowControl/>
    </w:pPr>
    <w:rPr>
      <w:rFonts w:ascii="宋体" w:hAnsi="宋体" w:eastAsia="宋体" w:cs="宋体"/>
      <w:sz w:val="21"/>
      <w:szCs w:val="21"/>
    </w:rPr>
  </w:style>
  <w:style w:type="paragraph" w:customStyle="1" w:styleId="223">
    <w:name w:val="Heading #2|1"/>
    <w:basedOn w:val="1"/>
    <w:qFormat/>
    <w:uiPriority w:val="0"/>
    <w:pPr>
      <w:spacing w:after="560" w:line="602" w:lineRule="exact"/>
      <w:jc w:val="center"/>
      <w:outlineLvl w:val="1"/>
    </w:pPr>
    <w:rPr>
      <w:rFonts w:ascii="宋体" w:hAnsi="宋体" w:eastAsia="宋体" w:cs="宋体"/>
      <w:sz w:val="38"/>
      <w:szCs w:val="38"/>
      <w:lang w:val="zh-TW" w:eastAsia="zh-TW"/>
    </w:rPr>
  </w:style>
  <w:style w:type="paragraph" w:customStyle="1" w:styleId="224">
    <w:name w:val="Other|1"/>
    <w:basedOn w:val="1"/>
    <w:qFormat/>
    <w:uiPriority w:val="0"/>
    <w:pPr>
      <w:spacing w:line="422" w:lineRule="auto"/>
      <w:ind w:firstLine="400"/>
    </w:pPr>
    <w:rPr>
      <w:rFonts w:ascii="宋体" w:hAnsi="宋体" w:eastAsia="宋体" w:cs="宋体"/>
      <w:sz w:val="30"/>
      <w:szCs w:val="30"/>
      <w:lang w:val="zh-TW" w:eastAsia="zh-TW"/>
    </w:rPr>
  </w:style>
  <w:style w:type="paragraph" w:customStyle="1" w:styleId="225">
    <w:name w:val="_Style 2"/>
    <w:basedOn w:val="1"/>
    <w:qFormat/>
    <w:uiPriority w:val="0"/>
    <w:pPr>
      <w:spacing w:line="351" w:lineRule="atLeast"/>
      <w:ind w:firstLine="623"/>
    </w:pPr>
    <w:rPr>
      <w:color w:val="000000"/>
      <w:sz w:val="31"/>
      <w:szCs w:val="31"/>
    </w:rPr>
  </w:style>
  <w:style w:type="character" w:customStyle="1" w:styleId="226">
    <w:name w:val="font31"/>
    <w:basedOn w:val="185"/>
    <w:link w:val="1"/>
    <w:qFormat/>
    <w:uiPriority w:val="0"/>
    <w:rPr>
      <w:rFonts w:hint="eastAsia" w:ascii="宋体" w:hAnsi="宋体" w:eastAsia="宋体" w:cs="宋体"/>
      <w:color w:val="FF0000"/>
      <w:sz w:val="22"/>
      <w:szCs w:val="22"/>
      <w:u w:val="none"/>
    </w:rPr>
  </w:style>
  <w:style w:type="character" w:customStyle="1" w:styleId="227">
    <w:name w:val="font41"/>
    <w:basedOn w:val="185"/>
    <w:link w:val="1"/>
    <w:qFormat/>
    <w:uiPriority w:val="0"/>
    <w:rPr>
      <w:rFonts w:hint="eastAsia" w:ascii="宋体" w:hAnsi="宋体" w:eastAsia="宋体" w:cs="宋体"/>
      <w:color w:val="000000"/>
      <w:sz w:val="22"/>
      <w:szCs w:val="22"/>
      <w:u w:val="none"/>
    </w:rPr>
  </w:style>
  <w:style w:type="paragraph" w:customStyle="1" w:styleId="228">
    <w:name w:val="标题3"/>
    <w:basedOn w:val="183"/>
    <w:qFormat/>
    <w:uiPriority w:val="0"/>
    <w:pPr>
      <w:spacing w:line="560" w:lineRule="exact"/>
      <w:jc w:val="center"/>
    </w:pPr>
    <w:rPr>
      <w:rFonts w:ascii="黑体" w:eastAsia="黑体"/>
      <w:bCs w:val="0"/>
      <w:sz w:val="30"/>
      <w:szCs w:val="30"/>
    </w:rPr>
  </w:style>
  <w:style w:type="paragraph" w:customStyle="1" w:styleId="229">
    <w:name w:val="Default"/>
    <w:qFormat/>
    <w:uiPriority w:val="0"/>
    <w:pPr>
      <w:widowControl w:val="0"/>
    </w:pPr>
    <w:rPr>
      <w:rFonts w:hint="default" w:ascii="宋体" w:hAnsi="Times New Roman" w:eastAsia="宋体" w:cs="宋体"/>
      <w:color w:val="000000"/>
      <w:sz w:val="24"/>
      <w:szCs w:val="24"/>
      <w:lang w:val="en-US" w:eastAsia="zh-CN" w:bidi="ar-SA"/>
    </w:rPr>
  </w:style>
  <w:style w:type="paragraph" w:customStyle="1" w:styleId="230">
    <w:name w:val="reader-word-layer reader-word-s1-0"/>
    <w:basedOn w:val="1"/>
    <w:qFormat/>
    <w:uiPriority w:val="0"/>
    <w:pPr>
      <w:widowControl/>
      <w:spacing w:before="100" w:beforeAutospacing="1" w:after="100" w:afterAutospacing="1"/>
      <w:jc w:val="left"/>
    </w:pPr>
    <w:rPr>
      <w:rFonts w:ascii="宋体" w:hAnsi="宋体" w:cs="宋体"/>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Template>
  <Pages>20</Pages>
  <Words>7608</Words>
  <Characters>8064</Characters>
  <TotalTime>12</TotalTime>
  <ScaleCrop>false</ScaleCrop>
  <LinksUpToDate>false</LinksUpToDate>
  <CharactersWithSpaces>8128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2022-11-09T01:49:00Z</dcterms:created>
  <dc:creator>武</dc:creator>
  <cp:lastModifiedBy>微信用户</cp:lastModifiedBy>
  <dcterms:modified xsi:type="dcterms:W3CDTF">2025-08-13T01:25:26Z</dcterms:modified>
  <dc:title>铜陵市人</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118DFE622B3E4A4B8B1F91B7E0541B9B_13</vt:lpwstr>
  </property>
  <property fmtid="{D5CDD505-2E9C-101B-9397-08002B2CF9AE}" pid="4" name="KSOTemplateDocerSaveRecord">
    <vt:lpwstr>eyJoZGlkIjoiNzM2NjU3MWIxMDczZTFhZjUyOTVjZDY1NWJhNTZjZGQiLCJ1c2VySWQiOiIxMjE0MjM5Mjk4In0=</vt:lpwstr>
  </property>
</Properties>
</file>