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2BA1F" w14:textId="77777777" w:rsidR="001364BC" w:rsidRDefault="00000000">
      <w:pPr>
        <w:pStyle w:val="a3"/>
        <w:widowControl/>
        <w:shd w:val="clear" w:color="auto" w:fill="FFFFFF"/>
        <w:spacing w:beforeAutospacing="0" w:after="225" w:afterAutospacing="0"/>
        <w:jc w:val="center"/>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国务院关于进一步完善文化经济政策的若干规定</w:t>
      </w:r>
    </w:p>
    <w:p w14:paraId="74FADFCC" w14:textId="77777777" w:rsidR="001364BC" w:rsidRDefault="00000000">
      <w:pPr>
        <w:pStyle w:val="a3"/>
        <w:widowControl/>
        <w:shd w:val="clear" w:color="auto" w:fill="FFFFFF"/>
        <w:spacing w:beforeAutospacing="0" w:after="225" w:afterAutospacing="0"/>
        <w:ind w:firstLineChars="1400" w:firstLine="3080"/>
        <w:rPr>
          <w:rFonts w:ascii="微软雅黑" w:eastAsia="微软雅黑" w:hAnsi="微软雅黑" w:cs="微软雅黑" w:hint="eastAsia"/>
          <w:sz w:val="22"/>
          <w:szCs w:val="22"/>
          <w:shd w:val="clear" w:color="auto" w:fill="FFFFFF"/>
        </w:rPr>
      </w:pPr>
      <w:r>
        <w:rPr>
          <w:rFonts w:ascii="微软雅黑" w:eastAsia="微软雅黑" w:hAnsi="微软雅黑" w:cs="微软雅黑" w:hint="eastAsia"/>
          <w:sz w:val="22"/>
          <w:szCs w:val="22"/>
          <w:shd w:val="clear" w:color="auto" w:fill="FFFFFF"/>
        </w:rPr>
        <w:t>国发〔1996〕37号</w:t>
      </w:r>
    </w:p>
    <w:p w14:paraId="57687937"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为切实加强社会主义精神文明建设、促进文化事业健康发展，国务院决定进一步完善文化经济政策，在加大各级财政对文化事业投入力度的同时，拓宽文化事业资金投入渠道，逐步形成适应社会主义市场经济要求的筹资机制和多渠道投入体制。</w:t>
      </w:r>
    </w:p>
    <w:p w14:paraId="5DFF0BC5"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w:t>
      </w:r>
      <w:r>
        <w:rPr>
          <w:rStyle w:val="a4"/>
          <w:rFonts w:ascii="微软雅黑" w:eastAsia="微软雅黑" w:hAnsi="微软雅黑" w:cs="微软雅黑" w:hint="eastAsia"/>
          <w:sz w:val="22"/>
          <w:szCs w:val="22"/>
          <w:shd w:val="clear" w:color="auto" w:fill="FFFFFF"/>
        </w:rPr>
        <w:t>一、开征文化事业建设费</w:t>
      </w:r>
    </w:p>
    <w:p w14:paraId="1C7367C6" w14:textId="5ED6565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为引导和调控文化事业的发展，从1997年1月16</w:t>
      </w:r>
      <w:r w:rsidR="00DC1A17">
        <w:rPr>
          <w:rFonts w:ascii="微软雅黑" w:eastAsia="微软雅黑" w:hAnsi="微软雅黑" w:cs="微软雅黑" w:hint="eastAsia"/>
          <w:sz w:val="22"/>
          <w:szCs w:val="22"/>
          <w:shd w:val="clear" w:color="auto" w:fill="FFFFFF"/>
        </w:rPr>
        <w:t>日</w:t>
      </w:r>
      <w:r>
        <w:rPr>
          <w:rFonts w:ascii="微软雅黑" w:eastAsia="微软雅黑" w:hAnsi="微软雅黑" w:cs="微软雅黑" w:hint="eastAsia"/>
          <w:sz w:val="22"/>
          <w:szCs w:val="22"/>
          <w:shd w:val="clear" w:color="auto" w:fill="FFFFFF"/>
        </w:rPr>
        <w:t>起，在全国范围内开征文化事业建设费(地方已开征的不重复征收)。</w:t>
      </w:r>
    </w:p>
    <w:p w14:paraId="1260DD4A"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w:t>
      </w:r>
      <w:proofErr w:type="gramStart"/>
      <w:r>
        <w:rPr>
          <w:rFonts w:ascii="微软雅黑" w:eastAsia="微软雅黑" w:hAnsi="微软雅黑" w:cs="微软雅黑" w:hint="eastAsia"/>
          <w:sz w:val="22"/>
          <w:szCs w:val="22"/>
          <w:shd w:val="clear" w:color="auto" w:fill="FFFFFF"/>
        </w:rPr>
        <w:t>一</w:t>
      </w:r>
      <w:proofErr w:type="gramEnd"/>
      <w:r>
        <w:rPr>
          <w:rFonts w:ascii="微软雅黑" w:eastAsia="微软雅黑" w:hAnsi="微软雅黑" w:cs="微软雅黑" w:hint="eastAsia"/>
          <w:sz w:val="22"/>
          <w:szCs w:val="22"/>
          <w:shd w:val="clear" w:color="auto" w:fill="FFFFFF"/>
        </w:rPr>
        <w:t>)各种营业性的歌厅、舞厅、卡拉OK歌舞厅、音乐茶座和高尔夫球、台球、保龄球等娱乐场所，按营业收入的3%缴纳文化事业建设费。</w:t>
      </w:r>
    </w:p>
    <w:p w14:paraId="291628DD"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广播电台、电视台和报纸、刊物等广告媒介单位以及户外广告经营单位，按经营收入的3%缴纳文化事业建设费。</w:t>
      </w:r>
    </w:p>
    <w:p w14:paraId="522A7CFA"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二)文化事业建设费由地方税务机关在征收娱乐业、广告业的营业税时一并征收。中央和国家机关所属单位缴纳的文化事业建设费，由地方税务机关征收后全额上缴中央金库。地方缴纳的文化事业建设费，全额缴入省级金库。</w:t>
      </w:r>
    </w:p>
    <w:p w14:paraId="430962BB"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(三)文化事业建设费纳入财政预算管理，</w:t>
      </w:r>
      <w:proofErr w:type="gramStart"/>
      <w:r>
        <w:rPr>
          <w:rFonts w:ascii="微软雅黑" w:eastAsia="微软雅黑" w:hAnsi="微软雅黑" w:cs="微软雅黑" w:hint="eastAsia"/>
          <w:sz w:val="22"/>
          <w:szCs w:val="22"/>
          <w:shd w:val="clear" w:color="auto" w:fill="FFFFFF"/>
        </w:rPr>
        <w:t>分另抽</w:t>
      </w:r>
      <w:proofErr w:type="gramEnd"/>
      <w:r>
        <w:rPr>
          <w:rFonts w:ascii="微软雅黑" w:eastAsia="微软雅黑" w:hAnsi="微软雅黑" w:cs="微软雅黑" w:hint="eastAsia"/>
          <w:sz w:val="22"/>
          <w:szCs w:val="22"/>
          <w:shd w:val="clear" w:color="auto" w:fill="FFFFFF"/>
        </w:rPr>
        <w:t>中央和省级建立专项资金，用于文化事业建设。文化事业建设费的具体管理和使用办法，由财政部门会同有关主管部门制定。</w:t>
      </w:r>
    </w:p>
    <w:p w14:paraId="5A1D6697"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w:t>
      </w:r>
      <w:r>
        <w:rPr>
          <w:rStyle w:val="a4"/>
          <w:rFonts w:ascii="微软雅黑" w:eastAsia="微软雅黑" w:hAnsi="微软雅黑" w:cs="微软雅黑" w:hint="eastAsia"/>
          <w:sz w:val="22"/>
          <w:szCs w:val="22"/>
          <w:shd w:val="clear" w:color="auto" w:fill="FFFFFF"/>
        </w:rPr>
        <w:t>二、鼓励对文化事业的捐赠</w:t>
      </w:r>
    </w:p>
    <w:p w14:paraId="34F593B6"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lastRenderedPageBreak/>
        <w:t xml:space="preserve">　　为鼓励社会力量资助文化事业，纳税人通过文化行政管理部门或批准成立的非营利性的公益性组织对下列文化事业的捐赠，在年度应纳税所得额3%以内的部分，经主管税务机关审核后，在计算应纳税所得额时予以扣除：</w:t>
      </w:r>
    </w:p>
    <w:p w14:paraId="4C307353"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(一)对国家重点交响乐团、芭蕾舞团、歌剧团和京剧团及其他民族艺术表演团体的捐赠。</w:t>
      </w:r>
    </w:p>
    <w:p w14:paraId="79C5188E"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(二)对公益性的图书馆、博物馆、科技馆、美术馆、革命历史纪念馆的捐赠。</w:t>
      </w:r>
    </w:p>
    <w:p w14:paraId="194C04E3"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(三)对重点文物保护单位的捐赠。</w:t>
      </w:r>
    </w:p>
    <w:p w14:paraId="14643157"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w:t>
      </w:r>
      <w:r>
        <w:rPr>
          <w:rStyle w:val="a4"/>
          <w:rFonts w:ascii="微软雅黑" w:eastAsia="微软雅黑" w:hAnsi="微软雅黑" w:cs="微软雅黑" w:hint="eastAsia"/>
          <w:sz w:val="22"/>
          <w:szCs w:val="22"/>
          <w:shd w:val="clear" w:color="auto" w:fill="FFFFFF"/>
        </w:rPr>
        <w:t xml:space="preserve">　三、继续实行财税优惠政策</w:t>
      </w:r>
    </w:p>
    <w:p w14:paraId="62C584E9"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随着经济发展和财政收入的增长，逐步增加对文化事业的资金投入，继续实行财税优惠政策。</w:t>
      </w:r>
    </w:p>
    <w:p w14:paraId="4E88C239"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w:t>
      </w:r>
      <w:proofErr w:type="gramStart"/>
      <w:r>
        <w:rPr>
          <w:rFonts w:ascii="微软雅黑" w:eastAsia="微软雅黑" w:hAnsi="微软雅黑" w:cs="微软雅黑" w:hint="eastAsia"/>
          <w:sz w:val="22"/>
          <w:szCs w:val="22"/>
          <w:shd w:val="clear" w:color="auto" w:fill="FFFFFF"/>
        </w:rPr>
        <w:t>一</w:t>
      </w:r>
      <w:proofErr w:type="gramEnd"/>
      <w:r>
        <w:rPr>
          <w:rFonts w:ascii="微软雅黑" w:eastAsia="微软雅黑" w:hAnsi="微软雅黑" w:cs="微软雅黑" w:hint="eastAsia"/>
          <w:sz w:val="22"/>
          <w:szCs w:val="22"/>
          <w:shd w:val="clear" w:color="auto" w:fill="FFFFFF"/>
        </w:rPr>
        <w:t>)"九五"期间，财政部、国家税务总局《</w:t>
      </w:r>
      <w:hyperlink r:id="rId5" w:tgtFrame="https://www.shui5.cn/article/da/_blank" w:history="1">
        <w:r>
          <w:rPr>
            <w:rStyle w:val="a5"/>
            <w:rFonts w:ascii="微软雅黑" w:eastAsia="微软雅黑" w:hAnsi="微软雅黑" w:cs="微软雅黑" w:hint="eastAsia"/>
            <w:color w:val="auto"/>
            <w:sz w:val="22"/>
            <w:szCs w:val="22"/>
            <w:u w:val="none"/>
            <w:shd w:val="clear" w:color="auto" w:fill="FFFFFF"/>
          </w:rPr>
          <w:t>关于继续对宣传文化单位实行财税优惠政策的法规</w:t>
        </w:r>
      </w:hyperlink>
      <w:r>
        <w:rPr>
          <w:rFonts w:ascii="微软雅黑" w:eastAsia="微软雅黑" w:hAnsi="微软雅黑" w:cs="微软雅黑" w:hint="eastAsia"/>
          <w:sz w:val="22"/>
          <w:szCs w:val="22"/>
          <w:shd w:val="clear" w:color="auto" w:fill="FFFFFF"/>
        </w:rPr>
        <w:t>》(</w:t>
      </w:r>
      <w:hyperlink r:id="rId6" w:tgtFrame="https://www.shui5.cn/article/da/_blank" w:history="1">
        <w:r>
          <w:rPr>
            <w:rStyle w:val="a5"/>
            <w:rFonts w:ascii="微软雅黑" w:eastAsia="微软雅黑" w:hAnsi="微软雅黑" w:cs="微软雅黑" w:hint="eastAsia"/>
            <w:color w:val="auto"/>
            <w:sz w:val="22"/>
            <w:szCs w:val="22"/>
            <w:u w:val="none"/>
            <w:shd w:val="clear" w:color="auto" w:fill="FFFFFF"/>
          </w:rPr>
          <w:t>[94]财税字第089号</w:t>
        </w:r>
      </w:hyperlink>
      <w:r>
        <w:rPr>
          <w:rFonts w:ascii="微软雅黑" w:eastAsia="微软雅黑" w:hAnsi="微软雅黑" w:cs="微软雅黑" w:hint="eastAsia"/>
          <w:sz w:val="22"/>
          <w:szCs w:val="22"/>
          <w:shd w:val="clear" w:color="auto" w:fill="FFFFFF"/>
        </w:rPr>
        <w:t>)中法规的7类出版物、县及县以下新华书店和农村供销社销售出版物的增值税，继续实行先征后退的办法;经国务院批准成立的电影制片厂销售的电影拷贝收入，继续免征增值税;中央和省级财政继续按宣传文化企业上年上缴所得税的实际入库数列支出预算，建立宣传文化发展专项资金;中央和省级财政要继续在预算中安排部分专项经费，纳入宣传文化发展专项资金。</w:t>
      </w:r>
    </w:p>
    <w:p w14:paraId="6F8FEDE7"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财税优惠政策如因税制调整而停止执行，各级财政部门要通过预算方式相应解决宣传文化单位由此产生的经费问题。</w:t>
      </w:r>
    </w:p>
    <w:p w14:paraId="7FA6B804"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lastRenderedPageBreak/>
        <w:t xml:space="preserve">　　(二)适当增加"万里边境文化长廊"补助经费。在民族事业费和边境建设费中安排一定数量扶持边远地区、民族地区发展文化事业。有关地方政府也应逐步增加对边远地区、民族地区文化事业的投入。</w:t>
      </w:r>
    </w:p>
    <w:p w14:paraId="39EE7075"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w:t>
      </w:r>
      <w:r>
        <w:rPr>
          <w:rStyle w:val="a4"/>
          <w:rFonts w:ascii="微软雅黑" w:eastAsia="微软雅黑" w:hAnsi="微软雅黑" w:cs="微软雅黑" w:hint="eastAsia"/>
          <w:sz w:val="22"/>
          <w:szCs w:val="22"/>
          <w:shd w:val="clear" w:color="auto" w:fill="FFFFFF"/>
        </w:rPr>
        <w:t>四、建立健全专项资金制度</w:t>
      </w:r>
    </w:p>
    <w:p w14:paraId="0B5D0DDA"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为促进宣传文化事业发展、增强调控能力、保证重点需要、规范资金管理，中央和省级要建立健全有关专项资金制度。</w:t>
      </w:r>
    </w:p>
    <w:p w14:paraId="0BE91367"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专项资金的来源为财政预算资金和按国家有关法规批准的收费等预算外资金。财政部门要做好专项资金的预算安排，有关部门要严格按照法规征收预算外资金。目前，要重点完善“宣传文化发展专项资金”、“优秀剧(节)目创作演出专项资金”、“国家电影事业发展专项资金”和“出版发展专项资金”制度。</w:t>
      </w:r>
    </w:p>
    <w:p w14:paraId="079A1A88" w14:textId="77777777" w:rsidR="001364BC" w:rsidRDefault="00000000">
      <w:pPr>
        <w:pStyle w:val="a3"/>
        <w:widowControl/>
        <w:shd w:val="clear" w:color="auto" w:fill="FFFFFF"/>
        <w:spacing w:beforeAutospacing="0" w:after="225" w:afterAutospacing="0"/>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 xml:space="preserve">　　专项资金是财政资金，要按照有关财政法规的要求健全制度、加强管理，保证专项专用，并接受财政和审计部门监督检查。</w:t>
      </w:r>
    </w:p>
    <w:p w14:paraId="3DF88B27" w14:textId="77777777" w:rsidR="001364BC" w:rsidRDefault="00000000">
      <w:pPr>
        <w:pStyle w:val="a3"/>
        <w:widowControl/>
        <w:shd w:val="clear" w:color="auto" w:fill="FFFFFF"/>
        <w:spacing w:beforeAutospacing="0" w:after="225" w:afterAutospacing="0"/>
        <w:jc w:val="right"/>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国务院</w:t>
      </w:r>
    </w:p>
    <w:p w14:paraId="02FF3668" w14:textId="77777777" w:rsidR="001364BC" w:rsidRDefault="00000000">
      <w:pPr>
        <w:pStyle w:val="a3"/>
        <w:widowControl/>
        <w:shd w:val="clear" w:color="auto" w:fill="FFFFFF"/>
        <w:spacing w:beforeAutospacing="0" w:after="225" w:afterAutospacing="0"/>
        <w:jc w:val="right"/>
        <w:rPr>
          <w:rFonts w:ascii="微软雅黑" w:eastAsia="微软雅黑" w:hAnsi="微软雅黑" w:cs="微软雅黑" w:hint="eastAsia"/>
          <w:sz w:val="22"/>
          <w:szCs w:val="22"/>
        </w:rPr>
      </w:pPr>
      <w:r>
        <w:rPr>
          <w:rFonts w:ascii="微软雅黑" w:eastAsia="微软雅黑" w:hAnsi="微软雅黑" w:cs="微软雅黑" w:hint="eastAsia"/>
          <w:sz w:val="22"/>
          <w:szCs w:val="22"/>
          <w:shd w:val="clear" w:color="auto" w:fill="FFFFFF"/>
        </w:rPr>
        <w:t>1996年9月5日</w:t>
      </w:r>
    </w:p>
    <w:p w14:paraId="13D6E217" w14:textId="77777777" w:rsidR="001364BC" w:rsidRDefault="001364BC"/>
    <w:sectPr w:rsidR="001364B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3426DA1"/>
    <w:rsid w:val="001364BC"/>
    <w:rsid w:val="006F1B78"/>
    <w:rsid w:val="00DC1A17"/>
    <w:rsid w:val="00EC21B2"/>
    <w:rsid w:val="3C8557C9"/>
    <w:rsid w:val="73426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29998D"/>
  <w15:docId w15:val="{F6E9DEB3-5317-406D-91BE-11A314B52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shui5.cn/article/dc/132745.html" TargetMode="External"/><Relationship Id="rId5" Type="http://schemas.openxmlformats.org/officeDocument/2006/relationships/hyperlink" Target="https://www.shui5.cn/article/dc/132745.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许兵</dc:creator>
  <cp:lastModifiedBy>严帱</cp:lastModifiedBy>
  <cp:revision>2</cp:revision>
  <dcterms:created xsi:type="dcterms:W3CDTF">2026-03-16T03:39:00Z</dcterms:created>
  <dcterms:modified xsi:type="dcterms:W3CDTF">2026-03-16T03:39:00Z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