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安徽省按比例安排残疾人就业办法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安徽省人民政府令第165号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第一条 为了保障残疾人的劳动权利，根据《安徽省实施〈中华人民共和</w:t>
      </w:r>
      <w:r>
        <w:rPr>
          <w:rFonts w:hint="eastAsia" w:ascii="微软雅黑" w:hAnsi="微软雅黑" w:eastAsia="微软雅黑" w:cs="微软雅黑"/>
          <w:i w:val="0"/>
          <w:iCs w:val="0"/>
          <w:caps w:val="0"/>
          <w:color w:val="333333"/>
          <w:spacing w:val="0"/>
          <w:sz w:val="22"/>
          <w:szCs w:val="22"/>
          <w:bdr w:val="none" w:color="auto" w:sz="0" w:space="0"/>
          <w:shd w:val="clear" w:fill="FFFFFF"/>
        </w:rPr>
        <w:t>国残疾人保障法〉办法》和有关规定，制</w:t>
      </w:r>
      <w:bookmarkStart w:id="0" w:name="_GoBack"/>
      <w:bookmarkEnd w:id="0"/>
      <w:r>
        <w:rPr>
          <w:rFonts w:hint="eastAsia" w:ascii="微软雅黑" w:hAnsi="微软雅黑" w:eastAsia="微软雅黑" w:cs="微软雅黑"/>
          <w:i w:val="0"/>
          <w:iCs w:val="0"/>
          <w:caps w:val="0"/>
          <w:color w:val="333333"/>
          <w:spacing w:val="0"/>
          <w:sz w:val="22"/>
          <w:szCs w:val="22"/>
          <w:bdr w:val="none" w:color="auto" w:sz="0" w:space="0"/>
          <w:shd w:val="clear" w:fill="FFFFFF"/>
        </w:rPr>
        <w:t>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第二条 县级以上残疾人联合会受本级人民政府委托，负责按比例安排残疾人就业的行政管理和行政执法工作。同级财政、税务、统计、劳动保障、民政和工商行政管理等部门应依照各自职责予以配合。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第三条 有本省常住户口、符合中国残疾人实用评定标准、符合法定就业年龄、本人有就业要求、有一定劳动能力、生活能自理的无业残疾人，为按比例安排就业的对象。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第四条 省残疾人联合会应在省劳动保障行政主管部门的指导下，建立健全劳动能力评定制度，完善就业服务机制，加强残疾人职业技能培训，指导残疾人就业。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第五条 本省行政区域内的国家机关、社会团体、企业、事业单位和其他社会组织(以下统称用人单位)按不低于本单位上一年度从业人员总数的1.5%的比例安排残疾人就业。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用人单位上一年度从业人员总数，以当地县级以上统计部门认定的统计数据为准。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已在用人单位从业的伤残职工，经县级以上残疾人联合会认定，符合中国残疾人实用评定标准的，计入本单位按比例安排残疾人就业比例。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用人单位应在每年3月31日前，将本单位上一年度从业人员总数的统计报表和残疾职工名册报当地县级以上残疾人联合会。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第六条 用人单位录用残疾人，在同等条件下，优先录用本单位职工的残疾人亲属。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用人单位录用残疾人，应依法与残疾人签订劳动合同，为残疾职工办理社会保险。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用人单位辞退残疾职工、解除与残疾职工的劳动合同，应依法办理，并报当地县级以上残疾人联合会备案。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第七条 用人单位安排残疾人就业，应根据残疾人知识、能力及生理、心理障碍等情况，安排适当的工种和岗位;在晋升、晋级、培训、职称评定、劳动报酬、生活福利、社会保险等方面，不得歧视残疾人。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第八条 未安排残疾人就业和安排残疾人就业未达到规定比例的用人单位，按年度交纳残疾人就业保障金。每少安排一名残疾人，按当地县级以上统计部门统计的上一年度本地区从业人员年平均劳动报酬标准交纳残疾人就业保障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用人单位安排残疾职工差额不足一人的可免予安排，但需按差额比例计算并交纳残疾人就业保障金。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第九条 县级以上残疾人联合会和县级以上地方税务机关按照分级征收的原则负责残疾人就业保障金征收工作。残疾人联合会负责征收国家机关、社会团体、事业单位和其他社会组织应交纳的残疾人就业保障金;地方税务机关负责征收企业应交纳的残疾人就业保障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县级以上残疾人联合会负责每年对用人单位上一年度按比例安排残疾人就业情况进行审查，对未安排残疾人就业和安排残疾人就业未达到规定比例的用人单位，应在每年的6月30日前核定其上一年度应交纳的残疾人就业保障金数额，并发出《残疾人就业保障金交款通知书》。用人单位应自收到交款通知书之日起30日内向残疾人联合会或地方税务机关交纳残疾人就业保障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市、县(市、区)残疾人联合会或地方税务机关代上一级残疾人联合会或地方税务机关征收的残疾人就业保障金，60%划入本级残疾人就业保障金财政专户，40%划入上一级残疾人就业保障金财政专户。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第十条 残疾人就业保障金分级征收的具体规定由省残疾人联合会会同省地方税务机关制定。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第十一条 国家机关、社会团体、事业单位交纳残疾人就业保障金，从单位经费中列支，企业、其他社会组织从管理费用中列支。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第十二条 收取残疾人就业保障金，统一使用省财政厅印制的《残疾人就业保障金专用票据》。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第十三条 残疾人就业保障金专项用于下列开支：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(一)补贴残疾人职业培训费用;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(二)有偿扶持残疾人集体从业、个体经营;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(三)经同级财政部门批准，适当补助残疾人劳动就业服务机构经费开支;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(四)经本级人民政府批准，奖励安排残疾人就业有突出贡献的单位和个人;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(五)用于有利于残疾人就业的其他开支。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第十四条 残疾人就业保障金的使用和管理，按财政部有关规定执行。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县级以上残疾人联合会应建立、健全残疾人就业保障金的财务管理制度，加强收支管理，接受财政、审计部门的检查和监督。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第十五条 用人单位在规定期限内未交纳或未足额交纳残疾人就业保障金的，由县级以上地方税务机关或受本级人民政府委托的县级以上残疾人联合会给予警告，责令其限期交纳;逾期仍不交纳的，可依法处以500元以上1000元以下罚款，并按日加收应交纳残疾人就业保障金总额万分之五的滞纳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第十六条 用人单位对处罚决定不服的，可以依法申请行政复议或提起行政诉讼。逾期不申请行政复议不提起行政诉讼又不履行处罚决定的，作出处罚决定的机关可以依法申请人民法院强制执行。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第十七条 残疾人联合会、地方税务机关以及政府有关行政部门的工作人员，在征收、使用和管理残疾人就业保障金的工作中，违反本办法及国家和省有关规定的，依法给予行政处分;构成犯罪的，依法追究刑事责任。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333333"/>
          <w:spacing w:val="0"/>
          <w:sz w:val="22"/>
          <w:szCs w:val="22"/>
        </w:rPr>
      </w:pPr>
      <w:r>
        <w:rPr>
          <w:rFonts w:hint="eastAsia" w:ascii="微软雅黑" w:hAnsi="微软雅黑" w:eastAsia="微软雅黑" w:cs="微软雅黑"/>
          <w:i w:val="0"/>
          <w:iCs w:val="0"/>
          <w:caps w:val="0"/>
          <w:color w:val="333333"/>
          <w:spacing w:val="0"/>
          <w:sz w:val="22"/>
          <w:szCs w:val="22"/>
          <w:bdr w:val="none" w:color="auto" w:sz="0" w:space="0"/>
          <w:shd w:val="clear" w:fill="FFFFFF"/>
        </w:rPr>
        <w:t>　　第十八条 本办法自2004年7月1日起施行。1996年3月27日省政府发布的《安徽省按比例安排残疾人就业办法》同时废止。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16576"/>
    <w:rsid w:val="2C5165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2024-12-20T06:18:00Z</dcterms:created>
  <dc:creator>许兵</dc:creator>
  <cp:lastModifiedBy>许兵</cp:lastModifiedBy>
  <dcterms:modified xsi:type="dcterms:W3CDTF">2024-12-20T06:18:40Z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