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关于我省中小微企业减征地方水利建设基金的通知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皖财综〔2022〕299号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 xml:space="preserve">  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各市、县(区)财政局，国家税务总局安徽省各市、县(区)税务局，江北、江南产业集中区税务局，省税务局第三税务分局：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　　为贯彻落实省委省政府关于促进市场主体提质扩量增效的决策部署，促进中小微企业发展，持续激发市场主体创新活力，现将我省中小微企业(含个体工商户，下同)减征地方水利建设基金有关事项通知如下：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　　一、向中小微企业征收的地方水利建设基金按现有费率的90%征收。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　　二、本通知所称中型企业、小型企业和微型企业，按照《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instrText xml:space="preserve"> HYPERLINK "https://www.shui5.cn/article/a1/50146.html"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t>中小企业划型标准规定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》(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instrText xml:space="preserve"> HYPERLINK "https://www.shui5.cn/article/a1/50146.html"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t>工信部联企业〔2011〕300号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)和《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instrText xml:space="preserve"> HYPERLINK "https://www.shui5.cn/article/3b/39169.html"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t>金融业企业划型标准规定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》(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instrText xml:space="preserve"> HYPERLINK "https://www.shui5.cn/article/3b/39169.html"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t>银发〔2015〕309号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)中的营业收入指标、资产总额指标确定。其中，营业收入指标按照缴费人上一会计年度增值税销售额确定，资产总额指标按照缴费人上一会计年度年末值确定。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　　2021年度开业但不满一个会计年度的，按照所属期截至2021年12月31日的销售额/实际经营月份×12个月的销售额确定。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　　2022年度新开业的，按照实际申报期销售额/实际经营月份×12个月的销售额确定。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　　本通知所称增值税销售额，包括纳税申报销售额、稽查查补销售额、纳税评估调整销售额。适用增值税差额征税政策的，以差额后的销售额确定。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　　对于《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instrText xml:space="preserve"> HYPERLINK "https://www.shui5.cn/article/a1/50146.html"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t>中小企业划型标准规定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》和《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instrText xml:space="preserve"> HYPERLINK "https://www.shui5.cn/article/3b/39169.html"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t>金融业企业划型标准规定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》所列行业以外的缴费人，以及《中小企业划型标准规定》所列行业但未采用营业收入指标或资产总额指标划型确定的缴费人，微型企业标准为增值税销售额(年)100万元以下(不含100万元);小型企业标准为增值税销售额(年)2000万元以下(不含2000万元);中型企业标准为增值税销售额(年)1亿元以下(不含1亿元)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　　三、中小微企业已依法享受地方水利建设基金其他优惠政策的，可叠加享受本通知第一条规定的优惠政策。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　　四、本通知执行期限为2022年1月1日至2022年12月31日。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　　五、2022年1月1日至本通知发布日之前，已征的按照本通知规定应予减免的费款，可抵减缴费人以后应缴纳的费款或予以退还。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安徽省财政厅 国家税务总局安徽省税务局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2022年3月28日</w:t>
      </w:r>
    </w:p>
    <w:p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4164B8"/>
    <w:rsid w:val="2F4164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2024-12-20T01:33:00Z</dcterms:created>
  <dc:creator>许兵</dc:creator>
  <cp:lastModifiedBy>许兵</cp:lastModifiedBy>
  <dcterms:modified xsi:type="dcterms:W3CDTF">2024-12-20T01:35:01Z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