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华文中宋" w:hAnsi="华文中宋" w:eastAsia="华文中宋" w:cs="华文中宋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华文中宋" w:hAnsi="华文中宋" w:eastAsia="华文中宋" w:cs="华文中宋"/>
          <w:i w:val="0"/>
          <w:iCs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关于征收国家重大水利工程建设基金有关问题的通知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财综〔2010〕97号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 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财政部驻北京、天津、河北、河南、山东、江苏、上海、浙江、安徽、江西、湖北、湖南、重庆、广东省(直辖市)财政监察专员办事处，国家电网公司、中国南方电网有限责任公司：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最近，财政部驻一些省市财政监察专员办事处反映，对企业自备电厂征收国家重大水利工程建设基金(以下简称基金)等一些具体政策仍不尽明确，给基金征收工作带来一定困难，要求进一步明确相关政策。经研究，现将有关问题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一、为确保基金应征尽征，提高征管效率，对企业自备电厂应缴纳的基金，不再由财政部驻当地财政监察专员办事处直接征收，改由省级电网企业代征，并由财政部驻当地财政监察专员办事处按月征缴。具体征缴方式、时间和程序，仍按照《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"https://www.shui5.cn/article/80/134998.html"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财政部 国家发展改革委 水利部关于印发〈国家重大水利工程建设基金征收使用管理暂行办法〉的通知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》(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"https://www.shui5.cn/article/80/134998.html"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财综[2009]90号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)规定执行。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二、财综[2009]90号文件已明确，资源综合利用(利用余热余压发电、煤矸石发电等)、热电联产的企业自备电厂纳入基金征收范围，各地应按此规定对资源综合利用、热电联产的企业自备电厂征收基金，不得免征。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三、对重庆市电力公司所属控股子公司(目前为24家)和地方独立电网企业全部销售电量，均应计征基金，自2010年1月1日起至今尚未计征基金的，应足额补征。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　　四、各地应严格按照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"https://www.shui5.cn/article/80/134998.html"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t>财综[2009]90号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文件的规定执行，未经国务院批准，任何地方、部门和单位均不得擅自调整基金征收范围和征收标准，也不得擅自减免基金。凡违反规定的，要予以严肃查处。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财政部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2"/>
          <w:szCs w:val="22"/>
          <w:bdr w:val="none" w:color="auto" w:sz="0" w:space="0"/>
          <w:shd w:val="clear" w:fill="FFFFFF"/>
        </w:rPr>
        <w:t>2010年11月3日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661BB1"/>
    <w:rsid w:val="6CFC2B82"/>
    <w:rsid w:val="71661B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2024-12-20T00:52:00Z</dcterms:created>
  <dc:creator>许兵</dc:creator>
  <cp:lastModifiedBy>许兵</cp:lastModifiedBy>
  <dcterms:modified xsi:type="dcterms:W3CDTF">2024-12-20T00:53:28Z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