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Fonts w:hint="eastAsia" w:ascii="Tahoma" w:hAnsi="Tahoma" w:eastAsia="Tahoma" w:cs="Tahoma"/>
          <w:b w:val="0"/>
          <w:bCs w:val="0"/>
          <w:i w:val="0"/>
          <w:iCs w:val="0"/>
          <w:caps w:val="0"/>
          <w:color w:val="333333"/>
          <w:spacing w:val="0"/>
          <w:sz w:val="18"/>
          <w:szCs w:val="18"/>
        </w:rPr>
      </w:pPr>
      <w:r>
        <w:rPr>
          <w:rFonts w:hint="eastAsia" w:ascii="宋体" w:hAnsi="宋体" w:eastAsia="宋体" w:cs="宋体"/>
          <w:b/>
          <w:bCs/>
          <w:i w:val="0"/>
          <w:iCs w:val="0"/>
          <w:caps w:val="0"/>
          <w:color w:val="333333"/>
          <w:spacing w:val="0"/>
          <w:sz w:val="36"/>
          <w:szCs w:val="36"/>
          <w:shd w:val="clear" w:fill="FFFFFF"/>
        </w:rPr>
        <w:t>财政部关于延续农网还贷资金等</w:t>
      </w:r>
      <w:r>
        <w:rPr>
          <w:rFonts w:hint="eastAsia" w:ascii="宋体" w:hAnsi="宋体" w:eastAsia="宋体" w:cs="宋体"/>
          <w:b/>
          <w:bCs/>
          <w:i w:val="0"/>
          <w:iCs w:val="0"/>
          <w:caps w:val="0"/>
          <w:color w:val="333333"/>
          <w:spacing w:val="0"/>
          <w:sz w:val="36"/>
          <w:szCs w:val="36"/>
          <w:shd w:val="clear" w:fill="FFFFFF"/>
          <w:lang w:val="en-US"/>
        </w:rPr>
        <w:t>17项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Fonts w:hint="eastAsia" w:ascii="宋体" w:hAnsi="宋体" w:eastAsia="宋体" w:cs="宋体"/>
          <w:b/>
          <w:bCs/>
          <w:i w:val="0"/>
          <w:iCs w:val="0"/>
          <w:caps w:val="0"/>
          <w:color w:val="333333"/>
          <w:spacing w:val="0"/>
          <w:sz w:val="36"/>
          <w:szCs w:val="36"/>
          <w:shd w:val="clear" w:fill="FFFFFF"/>
        </w:rPr>
      </w:pPr>
      <w:r>
        <w:rPr>
          <w:rFonts w:hint="eastAsia" w:ascii="宋体" w:hAnsi="宋体" w:eastAsia="宋体" w:cs="宋体"/>
          <w:b/>
          <w:bCs/>
          <w:i w:val="0"/>
          <w:iCs w:val="0"/>
          <w:caps w:val="0"/>
          <w:color w:val="333333"/>
          <w:spacing w:val="0"/>
          <w:sz w:val="36"/>
          <w:szCs w:val="36"/>
          <w:shd w:val="clear" w:fill="FFFFFF"/>
        </w:rPr>
        <w:t>政府性基金政策问题的通知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Fonts w:hint="default" w:ascii="宋体" w:hAnsi="宋体" w:eastAsia="宋体" w:cs="宋体"/>
          <w:b/>
          <w:bCs/>
          <w:i w:val="0"/>
          <w:iCs w:val="0"/>
          <w:caps w:val="0"/>
          <w:color w:val="333333"/>
          <w:spacing w:val="0"/>
          <w:sz w:val="36"/>
          <w:szCs w:val="36"/>
          <w:shd w:val="clear" w:fill="FFFFFF"/>
        </w:rPr>
      </w:pPr>
      <w:r>
        <w:rPr>
          <w:rFonts w:hint="eastAsia" w:ascii="宋体" w:hAnsi="宋体" w:eastAsia="宋体" w:cs="宋体"/>
          <w:i w:val="0"/>
          <w:iCs w:val="0"/>
          <w:caps w:val="0"/>
          <w:color w:val="333333"/>
          <w:spacing w:val="0"/>
          <w:sz w:val="30"/>
          <w:szCs w:val="30"/>
        </w:rPr>
        <w:t>财综</w:t>
      </w:r>
      <w:r>
        <w:rPr>
          <w:rFonts w:hint="eastAsia" w:ascii="Arial" w:hAnsi="Arial" w:eastAsia="宋体" w:cs="Arial"/>
          <w:i w:val="0"/>
          <w:iCs w:val="0"/>
          <w:caps w:val="0"/>
          <w:color w:val="333333"/>
          <w:spacing w:val="0"/>
          <w:sz w:val="30"/>
          <w:szCs w:val="30"/>
          <w:lang w:val="en-US"/>
        </w:rPr>
        <w:t>〔2007〕</w:t>
      </w:r>
      <w:r>
        <w:rPr>
          <w:rFonts w:ascii="Arial" w:hAnsi="Arial" w:eastAsia="宋体" w:cs="Arial"/>
          <w:i w:val="0"/>
          <w:iCs w:val="0"/>
          <w:caps w:val="0"/>
          <w:color w:val="333333"/>
          <w:spacing w:val="0"/>
          <w:sz w:val="30"/>
          <w:szCs w:val="30"/>
          <w:lang w:val="en-US"/>
        </w:rPr>
        <w:t>3</w:t>
      </w:r>
      <w:r>
        <w:rPr>
          <w:rFonts w:hint="eastAsia" w:ascii="宋体" w:hAnsi="宋体" w:eastAsia="宋体" w:cs="宋体"/>
          <w:i w:val="0"/>
          <w:iCs w:val="0"/>
          <w:caps w:val="0"/>
          <w:color w:val="333333"/>
          <w:spacing w:val="0"/>
          <w:sz w:val="30"/>
          <w:szCs w:val="30"/>
        </w:rPr>
        <w:t>号</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firstLine="0"/>
        <w:jc w:val="left"/>
        <w:rPr>
          <w:rFonts w:hint="default" w:ascii="Tahoma" w:hAnsi="Tahoma" w:eastAsia="Tahoma" w:cs="Tahoma"/>
          <w:b w:val="0"/>
          <w:bCs w:val="0"/>
          <w:i w:val="0"/>
          <w:iCs w:val="0"/>
          <w:caps w:val="0"/>
          <w:color w:val="333333"/>
          <w:spacing w:val="0"/>
          <w:sz w:val="18"/>
          <w:szCs w:val="18"/>
        </w:rPr>
      </w:pPr>
      <w:r>
        <w:rPr>
          <w:rFonts w:ascii="Arial" w:hAnsi="Arial" w:eastAsia="Tahoma" w:cs="Arial"/>
          <w:b w:val="0"/>
          <w:bCs w:val="0"/>
          <w:i w:val="0"/>
          <w:iCs w:val="0"/>
          <w:caps w:val="0"/>
          <w:color w:val="333333"/>
          <w:spacing w:val="0"/>
          <w:sz w:val="18"/>
          <w:szCs w:val="18"/>
          <w:shd w:val="clear" w:fill="FFFFFF"/>
          <w:lang w:val="en-US"/>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ahoma" w:hAnsi="Tahoma" w:eastAsia="Tahoma" w:cs="Tahoma"/>
          <w:b w:val="0"/>
          <w:bCs w:val="0"/>
          <w:i w:val="0"/>
          <w:iCs w:val="0"/>
          <w:caps w:val="0"/>
          <w:color w:val="333333"/>
          <w:spacing w:val="0"/>
          <w:sz w:val="18"/>
          <w:szCs w:val="18"/>
        </w:rPr>
      </w:pPr>
      <w:r>
        <w:rPr>
          <w:rFonts w:ascii="仿宋_GB2312" w:hAnsi="Tahoma" w:eastAsia="仿宋_GB2312" w:cs="仿宋_GB2312"/>
          <w:b w:val="0"/>
          <w:bCs w:val="0"/>
          <w:i w:val="0"/>
          <w:iCs w:val="0"/>
          <w:caps w:val="0"/>
          <w:color w:val="333333"/>
          <w:spacing w:val="0"/>
          <w:sz w:val="32"/>
          <w:szCs w:val="32"/>
          <w:shd w:val="clear" w:fill="FFFFFF"/>
        </w:rPr>
        <w:t>国务院各部委、各直属机构，各省、自治区、直辖市财政厅（局），各中央管理企业：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ahoma" w:hAnsi="Tahoma" w:eastAsia="Tahoma" w:cs="Tahoma"/>
          <w:b w:val="0"/>
          <w:bCs w:val="0"/>
          <w:i w:val="0"/>
          <w:iCs w:val="0"/>
          <w:caps w:val="0"/>
          <w:color w:val="333333"/>
          <w:spacing w:val="0"/>
          <w:sz w:val="18"/>
          <w:szCs w:val="18"/>
        </w:rPr>
      </w:pPr>
      <w:r>
        <w:rPr>
          <w:rFonts w:hint="default" w:ascii="Arial" w:hAnsi="Arial" w:eastAsia="Tahoma" w:cs="Arial"/>
          <w:b w:val="0"/>
          <w:bCs w:val="0"/>
          <w:i w:val="0"/>
          <w:iCs w:val="0"/>
          <w:caps w:val="0"/>
          <w:color w:val="333333"/>
          <w:spacing w:val="0"/>
          <w:sz w:val="32"/>
          <w:szCs w:val="32"/>
          <w:shd w:val="clear" w:fill="FFFFFF"/>
          <w:lang w:val="en-US"/>
        </w:rPr>
        <w:t>   </w:t>
      </w:r>
      <w:r>
        <w:rPr>
          <w:rFonts w:hint="eastAsia" w:ascii="仿宋_GB2312" w:hAnsi="Tahoma" w:eastAsia="仿宋_GB2312" w:cs="仿宋_GB2312"/>
          <w:b w:val="0"/>
          <w:bCs w:val="0"/>
          <w:i w:val="0"/>
          <w:iCs w:val="0"/>
          <w:caps w:val="0"/>
          <w:color w:val="333333"/>
          <w:spacing w:val="0"/>
          <w:sz w:val="32"/>
          <w:szCs w:val="32"/>
          <w:shd w:val="clear" w:fill="FFFFFF"/>
          <w:lang w:val="en-US"/>
        </w:rPr>
        <w:t> </w:t>
      </w:r>
      <w:r>
        <w:rPr>
          <w:rFonts w:hint="eastAsia" w:ascii="仿宋_GB2312" w:hAnsi="Tahoma" w:eastAsia="仿宋_GB2312" w:cs="仿宋_GB2312"/>
          <w:b w:val="0"/>
          <w:bCs w:val="0"/>
          <w:i w:val="0"/>
          <w:iCs w:val="0"/>
          <w:caps w:val="0"/>
          <w:color w:val="333333"/>
          <w:spacing w:val="0"/>
          <w:sz w:val="32"/>
          <w:szCs w:val="32"/>
          <w:shd w:val="clear" w:fill="FFFFFF"/>
          <w:lang w:val="en-US" w:eastAsia="zh-CN"/>
        </w:rPr>
        <w:t xml:space="preserve"> </w:t>
      </w:r>
      <w:r>
        <w:rPr>
          <w:rFonts w:hint="eastAsia" w:ascii="仿宋_GB2312" w:hAnsi="Tahoma" w:eastAsia="仿宋_GB2312" w:cs="仿宋_GB2312"/>
          <w:b w:val="0"/>
          <w:bCs w:val="0"/>
          <w:i w:val="0"/>
          <w:iCs w:val="0"/>
          <w:caps w:val="0"/>
          <w:color w:val="333333"/>
          <w:spacing w:val="0"/>
          <w:sz w:val="32"/>
          <w:szCs w:val="32"/>
          <w:shd w:val="clear" w:fill="FFFFFF"/>
          <w:lang w:val="en-US"/>
        </w:rPr>
        <w:t> 经国务院批准，</w:t>
      </w:r>
      <w:r>
        <w:rPr>
          <w:rFonts w:hint="eastAsia" w:ascii="宋体" w:hAnsi="宋体" w:eastAsia="宋体" w:cs="宋体"/>
          <w:b w:val="0"/>
          <w:bCs w:val="0"/>
          <w:i w:val="0"/>
          <w:iCs w:val="0"/>
          <w:caps w:val="0"/>
          <w:color w:val="333333"/>
          <w:spacing w:val="0"/>
          <w:sz w:val="32"/>
          <w:szCs w:val="32"/>
          <w:shd w:val="clear" w:fill="FFFFFF"/>
          <w:lang w:val="en-US"/>
        </w:rPr>
        <w:t>2006</w:t>
      </w:r>
      <w:r>
        <w:rPr>
          <w:rFonts w:hint="eastAsia" w:ascii="仿宋_GB2312" w:hAnsi="Tahoma" w:eastAsia="仿宋_GB2312" w:cs="仿宋_GB2312"/>
          <w:b w:val="0"/>
          <w:bCs w:val="0"/>
          <w:i w:val="0"/>
          <w:iCs w:val="0"/>
          <w:caps w:val="0"/>
          <w:color w:val="333333"/>
          <w:spacing w:val="0"/>
          <w:sz w:val="32"/>
          <w:szCs w:val="32"/>
          <w:shd w:val="clear" w:fill="FFFFFF"/>
        </w:rPr>
        <w:t>年底执行到期的农网还贷资金、新型墙体材料专项基金、港口建设费、民航机场管理建设费、铁路建设基金、铁路建设附加费、国家茧丝绸发展风险基金、</w:t>
      </w:r>
      <w:r>
        <w:rPr>
          <w:rFonts w:hint="eastAsia" w:ascii="仿宋_GB2312" w:hAnsi="Tahoma" w:eastAsia="仿宋_GB2312" w:cs="仿宋_GB2312"/>
          <w:b w:val="0"/>
          <w:bCs w:val="0"/>
          <w:i w:val="0"/>
          <w:iCs w:val="0"/>
          <w:caps w:val="0"/>
          <w:color w:val="000000"/>
          <w:spacing w:val="0"/>
          <w:sz w:val="32"/>
          <w:szCs w:val="32"/>
          <w:shd w:val="clear" w:fill="FFFFFF"/>
        </w:rPr>
        <w:t>散装水泥专项资金、中央对外贸易发展基金、库区维护建设</w:t>
      </w:r>
      <w:r>
        <w:rPr>
          <w:rFonts w:hint="eastAsia" w:ascii="仿宋_GB2312" w:hAnsi="Tahoma" w:eastAsia="仿宋_GB2312" w:cs="仿宋_GB2312"/>
          <w:b w:val="0"/>
          <w:bCs w:val="0"/>
          <w:i w:val="0"/>
          <w:iCs w:val="0"/>
          <w:caps w:val="0"/>
          <w:color w:val="333333"/>
          <w:spacing w:val="0"/>
          <w:sz w:val="32"/>
          <w:szCs w:val="32"/>
          <w:shd w:val="clear" w:fill="FFFFFF"/>
        </w:rPr>
        <w:t>基金（包括库区维护基金、库区后期扶持基金、库区移民后期扶持基金、库区移民扶助金）、城市公用事业附加、文化事业建设费、国家电影事业发展专项资金、旅游发展基金、能源基地建设基金、水资源补偿费、电源基地建设基金等</w:t>
      </w:r>
      <w:r>
        <w:rPr>
          <w:rFonts w:hint="eastAsia" w:ascii="仿宋_GB2312" w:hAnsi="Tahoma" w:eastAsia="仿宋_GB2312" w:cs="仿宋_GB2312"/>
          <w:b w:val="0"/>
          <w:bCs w:val="0"/>
          <w:i w:val="0"/>
          <w:iCs w:val="0"/>
          <w:caps w:val="0"/>
          <w:color w:val="333333"/>
          <w:spacing w:val="0"/>
          <w:sz w:val="32"/>
          <w:szCs w:val="32"/>
          <w:shd w:val="clear" w:fill="FFFFFF"/>
          <w:lang w:val="en-US"/>
        </w:rPr>
        <w:t>17项政府性基金，继续予以保留，根据国务院批示精神，我部将会同有关部门对上述政府性基金的征收使用办法进行调整和完善。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ahoma" w:hAnsi="Tahoma" w:eastAsia="Tahoma" w:cs="Tahoma"/>
          <w:b w:val="0"/>
          <w:bCs w:val="0"/>
          <w:i w:val="0"/>
          <w:iCs w:val="0"/>
          <w:caps w:val="0"/>
          <w:color w:val="333333"/>
          <w:spacing w:val="0"/>
          <w:sz w:val="18"/>
          <w:szCs w:val="18"/>
        </w:rPr>
      </w:pPr>
      <w:r>
        <w:rPr>
          <w:rFonts w:hint="default" w:ascii="Arial" w:hAnsi="Arial" w:eastAsia="Tahoma" w:cs="Arial"/>
          <w:b w:val="0"/>
          <w:bCs w:val="0"/>
          <w:i w:val="0"/>
          <w:iCs w:val="0"/>
          <w:caps w:val="0"/>
          <w:color w:val="333333"/>
          <w:spacing w:val="0"/>
          <w:sz w:val="32"/>
          <w:szCs w:val="32"/>
          <w:shd w:val="clear" w:fill="FFFFFF"/>
          <w:lang w:val="en-US"/>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right"/>
        <w:rPr>
          <w:rFonts w:hint="default" w:ascii="Tahoma" w:hAnsi="Tahoma" w:eastAsia="Tahoma" w:cs="Tahoma"/>
          <w:b w:val="0"/>
          <w:bCs w:val="0"/>
          <w:i w:val="0"/>
          <w:iCs w:val="0"/>
          <w:caps w:val="0"/>
          <w:color w:val="333333"/>
          <w:spacing w:val="0"/>
          <w:sz w:val="18"/>
          <w:szCs w:val="18"/>
        </w:rPr>
      </w:pPr>
      <w:r>
        <w:rPr>
          <w:rFonts w:hint="eastAsia" w:ascii="仿宋_GB2312" w:hAnsi="Tahoma" w:eastAsia="仿宋_GB2312" w:cs="仿宋_GB2312"/>
          <w:b w:val="0"/>
          <w:bCs w:val="0"/>
          <w:i w:val="0"/>
          <w:iCs w:val="0"/>
          <w:caps w:val="0"/>
          <w:color w:val="333333"/>
          <w:spacing w:val="0"/>
          <w:sz w:val="32"/>
          <w:szCs w:val="32"/>
          <w:shd w:val="clear" w:fill="FFFFFF"/>
        </w:rPr>
        <w:t>中华人民共和国财政部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160" w:firstLine="0"/>
        <w:jc w:val="right"/>
        <w:rPr>
          <w:rFonts w:hint="default" w:ascii="Tahoma" w:hAnsi="Tahoma" w:eastAsia="Tahoma" w:cs="Tahoma"/>
          <w:b w:val="0"/>
          <w:bCs w:val="0"/>
          <w:i w:val="0"/>
          <w:iCs w:val="0"/>
          <w:caps w:val="0"/>
          <w:color w:val="333333"/>
          <w:spacing w:val="0"/>
          <w:sz w:val="18"/>
          <w:szCs w:val="18"/>
        </w:rPr>
      </w:pPr>
      <w:r>
        <w:rPr>
          <w:rFonts w:hint="eastAsia" w:ascii="仿宋_GB2312" w:hAnsi="Tahoma" w:eastAsia="仿宋_GB2312" w:cs="仿宋_GB2312"/>
          <w:b w:val="0"/>
          <w:bCs w:val="0"/>
          <w:i w:val="0"/>
          <w:iCs w:val="0"/>
          <w:caps w:val="0"/>
          <w:color w:val="333333"/>
          <w:spacing w:val="0"/>
          <w:sz w:val="32"/>
          <w:szCs w:val="32"/>
          <w:shd w:val="clear" w:fill="FFFFFF"/>
        </w:rPr>
        <w:t>二</w:t>
      </w:r>
      <w:r>
        <w:rPr>
          <w:rFonts w:hint="eastAsia" w:ascii="仿宋_GB2312" w:hAnsi="Tahoma" w:eastAsia="仿宋_GB2312" w:cs="仿宋_GB2312"/>
          <w:b w:val="0"/>
          <w:bCs w:val="0"/>
          <w:i w:val="0"/>
          <w:iCs w:val="0"/>
          <w:caps w:val="0"/>
          <w:color w:val="333333"/>
          <w:spacing w:val="0"/>
          <w:sz w:val="32"/>
          <w:szCs w:val="32"/>
          <w:shd w:val="clear" w:fill="FFFFFF"/>
          <w:lang w:val="en-US"/>
        </w:rPr>
        <w:t>OO七年一月八日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auto"/>
    <w:pitch w:val="default"/>
    <w:sig w:usb0="61007A87" w:usb1="80000000" w:usb2="00000008" w:usb3="00000000" w:csb0="200101FF" w:csb1="2028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D37494"/>
    <w:rsid w:val="20D37494"/>
    <w:rsid w:val="5CD03E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2024-12-19T23:36:00Z</dcterms:created>
  <dc:creator>许兵</dc:creator>
  <cp:lastModifiedBy>许兵</cp:lastModifiedBy>
  <dcterms:modified xsi:type="dcterms:W3CDTF">2024-12-19T23:51:46Z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