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750" w:lineRule="atLeast"/>
        <w:ind w:left="0" w:right="0" w:firstLine="0"/>
        <w:jc w:val="center"/>
        <w:rPr>
          <w:rFonts w:hint="eastAsia" w:ascii="华文中宋" w:hAnsi="华文中宋" w:eastAsia="华文中宋" w:cs="华文中宋"/>
          <w:b/>
          <w:bCs/>
          <w:i w:val="0"/>
          <w:iCs w:val="0"/>
          <w:caps w:val="0"/>
          <w:color w:val="333333"/>
          <w:spacing w:val="0"/>
          <w:sz w:val="36"/>
          <w:szCs w:val="36"/>
        </w:rPr>
      </w:pPr>
      <w:r>
        <w:rPr>
          <w:rFonts w:hint="eastAsia" w:ascii="华文中宋" w:hAnsi="华文中宋" w:eastAsia="华文中宋" w:cs="华文中宋"/>
          <w:b/>
          <w:bCs/>
          <w:i w:val="0"/>
          <w:iCs w:val="0"/>
          <w:caps w:val="0"/>
          <w:color w:val="333333"/>
          <w:spacing w:val="0"/>
          <w:sz w:val="36"/>
          <w:szCs w:val="36"/>
        </w:rPr>
        <w:t>关于调整部分政府性基金有关政策的通知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eastAsia" w:ascii="微软雅黑" w:hAnsi="微软雅黑" w:eastAsia="微软雅黑" w:cs="微软雅黑"/>
          <w:b w:val="0"/>
          <w:bCs w:val="0"/>
          <w:i w:val="0"/>
          <w:iCs w:val="0"/>
          <w:caps w:val="0"/>
          <w:color w:val="333333"/>
          <w:spacing w:val="0"/>
          <w:sz w:val="24"/>
          <w:szCs w:val="24"/>
        </w:rPr>
      </w:pPr>
      <w:r>
        <w:rPr>
          <w:rFonts w:hint="eastAsia" w:ascii="微软雅黑" w:hAnsi="微软雅黑" w:eastAsia="微软雅黑" w:cs="微软雅黑"/>
          <w:b w:val="0"/>
          <w:bCs w:val="0"/>
          <w:i w:val="0"/>
          <w:iCs w:val="0"/>
          <w:caps w:val="0"/>
          <w:color w:val="333333"/>
          <w:spacing w:val="0"/>
          <w:sz w:val="24"/>
          <w:szCs w:val="24"/>
        </w:rPr>
        <w:t>财税〔2019〕46号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中共中央宣传部，发展改革委、教育部、水利部、民航局、税务总局，国家电网有限公司、中国南方电网有限责任公司，各省、自治区、直辖市财政厅(局)，新疆生产建设兵团财政局，财政部各地监管局：</w:t>
      </w:r>
      <w:r>
        <w:rPr>
          <w:rFonts w:ascii="仿宋_GB2312" w:hAnsi="微软雅黑" w:eastAsia="仿宋_GB2312" w:cs="仿宋_GB2312"/>
          <w:i w:val="0"/>
          <w:iCs w:val="0"/>
          <w:caps w:val="0"/>
          <w:color w:val="333333"/>
          <w:spacing w:val="0"/>
          <w:sz w:val="31"/>
          <w:szCs w:val="31"/>
          <w:shd w:val="clear" w:fill="FFFFFF"/>
        </w:rPr>
        <w:br w:type="textWrapping"/>
      </w:r>
      <w:r>
        <w:rPr>
          <w:rFonts w:hint="eastAsia" w:ascii="仿宋_GB2312" w:hAnsi="微软雅黑" w:eastAsia="仿宋_GB2312" w:cs="仿宋_GB2312"/>
          <w:i w:val="0"/>
          <w:iCs w:val="0"/>
          <w:caps w:val="0"/>
          <w:color w:val="333333"/>
          <w:spacing w:val="0"/>
          <w:sz w:val="31"/>
          <w:szCs w:val="31"/>
          <w:shd w:val="clear" w:fill="FFFFFF"/>
        </w:rPr>
        <w:t>　</w:t>
      </w:r>
      <w:r>
        <w:rPr>
          <w:rFonts w:hint="eastAsia" w:ascii="微软雅黑" w:hAnsi="微软雅黑" w:eastAsia="微软雅黑" w:cs="微软雅黑"/>
          <w:i w:val="0"/>
          <w:iCs w:val="0"/>
          <w:caps w:val="0"/>
          <w:color w:val="333333"/>
          <w:spacing w:val="0"/>
          <w:sz w:val="27"/>
          <w:szCs w:val="27"/>
          <w:shd w:val="clear" w:fill="FFFFFF"/>
        </w:rPr>
        <w:t>　按照国务院决策部署，现将调整部分政府性基金政策的有关事项通知如下：</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一、自2019年7月1日至2024年12月31日，对归属中央收入的文化事业建设费，按照缴纳义务人应缴费额的50%减征;对归属地方收入的文化事</w:t>
      </w:r>
      <w:bookmarkStart w:id="0" w:name="_GoBack"/>
      <w:bookmarkEnd w:id="0"/>
      <w:r>
        <w:rPr>
          <w:rFonts w:hint="eastAsia" w:ascii="微软雅黑" w:hAnsi="微软雅黑" w:eastAsia="微软雅黑" w:cs="微软雅黑"/>
          <w:i w:val="0"/>
          <w:iCs w:val="0"/>
          <w:caps w:val="0"/>
          <w:color w:val="333333"/>
          <w:spacing w:val="0"/>
          <w:sz w:val="27"/>
          <w:szCs w:val="27"/>
          <w:shd w:val="clear" w:fill="FFFFFF"/>
        </w:rPr>
        <w:t>业建设费，各省(区、市)财政、党委宣传部门可以结合当地经济发展水平、宣传思想文化事业发展等因素，在应缴费额50%的幅度内减征。各省(区、市)财 政、党委宣传部门应当将本地区制定的减征政策文件抄送财政部、中共中央宣传部。</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各级财政部门要统筹安排资金，根据宣传思想文化事业需要积极予以支持，确保相关工作顺利开展。中央财政加大对财力薄弱地方的转移支付力度，支持地方做好相关工作。各级财政用于宣传思想文化事业方面的经费继续按照现有资金管理方式使用。</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二、自2019年7月1日起，将国家重大水利工程建设基金征收标准降低50%。降低后各省(区、市)征收标准见附件1。</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国家重大水利工程建设基金征收至2025年12月31日。自2020年1月1日起，缴入中央国库的国家重大水利工程建设基金，根据国务院批复的相关规 划，统筹用于南水北调工程和三峡后续工作等。具体资金分配根据基金年度实际征收情况，以及国务院批复的南水北调工程和三峡后续工作相关规划的资金落实情况 等统筹安排。</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三、自2019年1月1日起，纳入产教融合型企业建设培育范围的试点企业，兴办职业教育的投资符合本通知规定的，可按投资额的30%比例，抵免该企业 当年应缴教育费附加和地方教育附加。试点企业属于集团企业的，其下属成员单位(包括全资子公司、控股子公司)对职业教育有实际投入的，可按本通知规定抵免 教育费附加和地方教育附加。</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允许抵免的投资是指试点企业当年实际发生的，独立举办或参与举办职业教育的办学投资和办学经费支出，以及按照有关规定与职业院校稳定开展校企合作，对产教融合实训基地等国家规划布局的产教融合重大项目建设投资和基本运行费用的支出。</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试点企业当年应缴教育费附加和地方教育附加不足抵免的，未抵免部分可在以后年度继续抵免。试点企业有撤回投资和转让股权等行为的，应当补缴已经抵免的教育费附加和地方教育附加。</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四、自2019年7月1日起，将《财政部关于印发&lt;民航发展基金征收使用管理暂行办法&gt;的通知》(财综〔2012〕17号)第八条规定的航空公司应缴纳民航发展基金的征收标准降低50%。降低后的征收标准见附件2。</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附件：1.国家重大水利工程建设基金征收标准</w:t>
      </w:r>
      <w:r>
        <w:rPr>
          <w:rFonts w:hint="eastAsia" w:ascii="微软雅黑" w:hAnsi="微软雅黑" w:eastAsia="微软雅黑" w:cs="微软雅黑"/>
          <w:i w:val="0"/>
          <w:iCs w:val="0"/>
          <w:caps w:val="0"/>
          <w:color w:val="333333"/>
          <w:spacing w:val="0"/>
          <w:sz w:val="27"/>
          <w:szCs w:val="27"/>
          <w:shd w:val="clear" w:fill="FFFFFF"/>
        </w:rPr>
        <w:br w:type="textWrapping"/>
      </w:r>
      <w:r>
        <w:rPr>
          <w:rFonts w:hint="eastAsia" w:ascii="微软雅黑" w:hAnsi="微软雅黑" w:eastAsia="微软雅黑" w:cs="微软雅黑"/>
          <w:i w:val="0"/>
          <w:iCs w:val="0"/>
          <w:caps w:val="0"/>
          <w:color w:val="333333"/>
          <w:spacing w:val="0"/>
          <w:sz w:val="27"/>
          <w:szCs w:val="27"/>
          <w:shd w:val="clear" w:fill="FFFFFF"/>
        </w:rPr>
        <w:t>　　      2.航空公司民航发展基金征收标准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600" w:lineRule="atLeast"/>
        <w:ind w:left="0" w:right="0" w:firstLine="0"/>
        <w:jc w:val="both"/>
        <w:rPr>
          <w:rFonts w:hint="eastAsia" w:ascii="微软雅黑" w:hAnsi="微软雅黑" w:eastAsia="微软雅黑" w:cs="微软雅黑"/>
          <w:i w:val="0"/>
          <w:iCs w:val="0"/>
          <w:caps w:val="0"/>
          <w:color w:val="333333"/>
          <w:spacing w:val="0"/>
          <w:sz w:val="21"/>
          <w:szCs w:val="21"/>
        </w:rPr>
      </w:pPr>
      <w:r>
        <w:rPr>
          <w:rFonts w:ascii="Calibri" w:hAnsi="Calibri" w:eastAsia="微软雅黑" w:cs="Calibri"/>
          <w:i w:val="0"/>
          <w:iCs w:val="0"/>
          <w:caps w:val="0"/>
          <w:color w:val="333333"/>
          <w:spacing w:val="0"/>
          <w:sz w:val="31"/>
          <w:szCs w:val="3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sz w:val="31"/>
          <w:szCs w:val="31"/>
          <w:shd w:val="clear" w:fill="FFFFFF"/>
        </w:rPr>
        <w:t>                                    </w:t>
      </w:r>
      <w:r>
        <w:rPr>
          <w:rFonts w:hint="eastAsia" w:ascii="微软雅黑" w:hAnsi="微软雅黑" w:eastAsia="微软雅黑" w:cs="微软雅黑"/>
          <w:i w:val="0"/>
          <w:iCs w:val="0"/>
          <w:caps w:val="0"/>
          <w:color w:val="333333"/>
          <w:spacing w:val="0"/>
          <w:sz w:val="27"/>
          <w:szCs w:val="27"/>
          <w:shd w:val="clear" w:fill="FFFFFF"/>
        </w:rPr>
        <w:t>  财政部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shd w:val="clear" w:fill="FFFFFF"/>
        </w:rPr>
        <w:t>2019年4月22日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宋体" w:hAnsi="宋体" w:eastAsia="宋体" w:cs="宋体"/>
          <w:i w:val="0"/>
          <w:iCs w:val="0"/>
          <w:caps w:val="0"/>
          <w:color w:val="333333"/>
          <w:spacing w:val="0"/>
          <w:sz w:val="21"/>
          <w:szCs w:val="21"/>
          <w:shd w:val="clear" w:fill="FFFFFF"/>
        </w:rPr>
        <w:t> </w:t>
      </w:r>
    </w:p>
    <w:tbl>
      <w:tblPr>
        <w:tblStyle w:val="4"/>
        <w:tblW w:w="82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4080"/>
        <w:gridCol w:w="4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85" w:hRule="atLeast"/>
          <w:jc w:val="center"/>
        </w:trPr>
        <w:tc>
          <w:tcPr>
            <w:tcW w:w="8235" w:type="dxa"/>
            <w:gridSpan w:val="2"/>
            <w:tcBorders>
              <w:top w:val="nil"/>
              <w:left w:val="nil"/>
              <w:bottom w:val="nil"/>
              <w:right w:val="nil"/>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rPr>
                <w:color w:val="333333"/>
                <w:sz w:val="21"/>
                <w:szCs w:val="21"/>
              </w:rPr>
            </w:pPr>
            <w:r>
              <w:rPr>
                <w:rFonts w:hint="eastAsia" w:ascii="仿宋_GB2312" w:eastAsia="仿宋_GB2312" w:cs="仿宋_GB2312"/>
                <w:color w:val="333333"/>
                <w:sz w:val="31"/>
                <w:szCs w:val="31"/>
              </w:rPr>
              <w:t>附件1</w:t>
            </w:r>
          </w:p>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ascii="方正小标宋_GBK" w:hAnsi="方正小标宋_GBK" w:eastAsia="方正小标宋_GBK" w:cs="方正小标宋_GBK"/>
                <w:color w:val="333333"/>
                <w:sz w:val="31"/>
                <w:szCs w:val="31"/>
              </w:rPr>
              <w:t>国家重大水利工程建设基金征收标准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jc w:val="center"/>
        </w:trPr>
        <w:tc>
          <w:tcPr>
            <w:tcW w:w="4080" w:type="dxa"/>
            <w:tcBorders>
              <w:top w:val="nil"/>
              <w:left w:val="nil"/>
              <w:bottom w:val="nil"/>
              <w:right w:val="nil"/>
            </w:tcBorders>
            <w:shd w:val="clear" w:color="auto" w:fill="auto"/>
            <w:tcMar>
              <w:left w:w="105" w:type="dxa"/>
              <w:right w:w="105" w:type="dxa"/>
            </w:tcMar>
            <w:vAlign w:val="center"/>
          </w:tcPr>
          <w:p>
            <w:pPr>
              <w:keepNext w:val="0"/>
              <w:keepLines w:val="0"/>
              <w:widowControl/>
              <w:suppressLineNumbers w:val="0"/>
              <w:spacing w:before="0" w:beforeAutospacing="0" w:after="0" w:afterAutospacing="0"/>
              <w:ind w:left="0" w:right="0"/>
              <w:jc w:val="left"/>
            </w:pPr>
          </w:p>
        </w:tc>
        <w:tc>
          <w:tcPr>
            <w:tcW w:w="4155" w:type="dxa"/>
            <w:tcBorders>
              <w:top w:val="nil"/>
              <w:left w:val="nil"/>
              <w:bottom w:val="nil"/>
              <w:right w:val="nil"/>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right"/>
              <w:rPr>
                <w:color w:val="333333"/>
                <w:sz w:val="21"/>
                <w:szCs w:val="21"/>
              </w:rPr>
            </w:pPr>
            <w:r>
              <w:rPr>
                <w:rFonts w:hint="eastAsia" w:ascii="宋体" w:hAnsi="宋体" w:eastAsia="宋体" w:cs="宋体"/>
                <w:color w:val="333333"/>
                <w:sz w:val="24"/>
                <w:szCs w:val="24"/>
              </w:rPr>
              <w:t>单位：厘/千瓦时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jc w:val="center"/>
        </w:trPr>
        <w:tc>
          <w:tcPr>
            <w:tcW w:w="4080"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30"/>
                <w:szCs w:val="30"/>
              </w:rPr>
              <w:t>省（区、市）</w:t>
            </w:r>
          </w:p>
        </w:tc>
        <w:tc>
          <w:tcPr>
            <w:tcW w:w="4155"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30"/>
                <w:szCs w:val="30"/>
              </w:rPr>
              <w:t>征收标准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北京</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天津</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上海</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3.915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河北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山西</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内蒙古</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辽宁</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吉林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黑龙江</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江苏</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4.1934375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浙江</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4.03875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安徽</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3.63375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福建</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江西</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1.5525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山东</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河南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3.189375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湖北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湖南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1.0546875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广东</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广西</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海南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重庆</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四川</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1.96875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贵州</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云南</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陕西</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甘肃</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青海</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宁夏</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4080"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eastAsia" w:ascii="宋体" w:hAnsi="宋体" w:eastAsia="宋体" w:cs="宋体"/>
                <w:color w:val="333333"/>
                <w:sz w:val="24"/>
                <w:szCs w:val="24"/>
              </w:rPr>
              <w:t>新疆</w:t>
            </w:r>
          </w:p>
        </w:tc>
        <w:tc>
          <w:tcPr>
            <w:tcW w:w="4155"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450" w:lineRule="atLeast"/>
              <w:ind w:left="0" w:right="0"/>
              <w:jc w:val="center"/>
              <w:rPr>
                <w:color w:val="333333"/>
                <w:sz w:val="21"/>
                <w:szCs w:val="21"/>
              </w:rPr>
            </w:pPr>
            <w:r>
              <w:rPr>
                <w:rFonts w:hint="default" w:ascii="Times New Roman" w:hAnsi="Times New Roman" w:cs="Times New Roman"/>
                <w:color w:val="333333"/>
                <w:sz w:val="24"/>
                <w:szCs w:val="24"/>
              </w:rPr>
              <w:t>1.125</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sz w:val="21"/>
          <w:szCs w:val="2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1"/>
          <w:szCs w:val="31"/>
          <w:shd w:val="clear" w:fill="FFFFFF"/>
        </w:rPr>
        <w:t>附件2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hint="eastAsia" w:ascii="仿宋_GB2312" w:hAnsi="微软雅黑" w:eastAsia="仿宋_GB2312" w:cs="仿宋_GB2312"/>
          <w:i w:val="0"/>
          <w:iCs w:val="0"/>
          <w:caps w:val="0"/>
          <w:color w:val="333333"/>
          <w:spacing w:val="0"/>
          <w:sz w:val="31"/>
          <w:szCs w:val="31"/>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jc w:val="center"/>
        <w:rPr>
          <w:rFonts w:hint="eastAsia" w:ascii="微软雅黑" w:hAnsi="微软雅黑" w:eastAsia="微软雅黑" w:cs="微软雅黑"/>
          <w:i w:val="0"/>
          <w:iCs w:val="0"/>
          <w:caps w:val="0"/>
          <w:color w:val="333333"/>
          <w:spacing w:val="0"/>
          <w:sz w:val="21"/>
          <w:szCs w:val="21"/>
        </w:rPr>
      </w:pPr>
      <w:r>
        <w:rPr>
          <w:rFonts w:ascii="黑体" w:hAnsi="微软雅黑" w:eastAsia="黑体" w:cs="黑体"/>
          <w:i w:val="0"/>
          <w:iCs w:val="0"/>
          <w:caps w:val="0"/>
          <w:color w:val="333333"/>
          <w:spacing w:val="0"/>
          <w:sz w:val="31"/>
          <w:szCs w:val="31"/>
          <w:shd w:val="clear" w:fill="FFFFFF"/>
        </w:rPr>
        <w:t>航空公司民航发展基金征收标准</w:t>
      </w:r>
    </w:p>
    <w:tbl>
      <w:tblPr>
        <w:tblStyle w:val="4"/>
        <w:tblW w:w="850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2130"/>
        <w:gridCol w:w="1845"/>
        <w:gridCol w:w="2265"/>
        <w:gridCol w:w="2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0" w:type="dxa"/>
            <w:left w:w="0" w:type="dxa"/>
            <w:bottom w:w="0" w:type="dxa"/>
            <w:right w:w="0" w:type="dxa"/>
          </w:tblCellMar>
        </w:tblPrEx>
        <w:trPr>
          <w:trHeight w:val="285" w:hRule="atLeast"/>
        </w:trPr>
        <w:tc>
          <w:tcPr>
            <w:tcW w:w="8505" w:type="dxa"/>
            <w:gridSpan w:val="4"/>
            <w:tcBorders>
              <w:top w:val="nil"/>
              <w:left w:val="nil"/>
              <w:bottom w:val="nil"/>
              <w:right w:val="nil"/>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7"/>
                <w:szCs w:val="27"/>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30" w:type="dxa"/>
            <w:tcBorders>
              <w:top w:val="nil"/>
              <w:left w:val="nil"/>
              <w:bottom w:val="nil"/>
              <w:right w:val="nil"/>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7"/>
                <w:szCs w:val="27"/>
              </w:rPr>
            </w:pPr>
          </w:p>
        </w:tc>
        <w:tc>
          <w:tcPr>
            <w:tcW w:w="1845" w:type="dxa"/>
            <w:tcBorders>
              <w:top w:val="nil"/>
              <w:left w:val="nil"/>
              <w:bottom w:val="nil"/>
              <w:right w:val="nil"/>
            </w:tcBorders>
            <w:shd w:val="clear" w:color="auto" w:fill="FFFFFF"/>
            <w:tcMar>
              <w:left w:w="105" w:type="dxa"/>
              <w:right w:w="105" w:type="dxa"/>
            </w:tcMar>
            <w:vAlign w:val="center"/>
          </w:tcPr>
          <w:p>
            <w:pPr>
              <w:keepNext w:val="0"/>
              <w:keepLines w:val="0"/>
              <w:widowControl/>
              <w:suppressLineNumbers w:val="0"/>
              <w:spacing w:before="0" w:beforeAutospacing="0" w:after="0" w:afterAutospacing="0"/>
              <w:ind w:left="0" w:right="0" w:firstLine="0"/>
              <w:jc w:val="left"/>
              <w:rPr>
                <w:rFonts w:hint="eastAsia" w:ascii="微软雅黑" w:hAnsi="微软雅黑" w:eastAsia="微软雅黑" w:cs="微软雅黑"/>
                <w:i w:val="0"/>
                <w:iCs w:val="0"/>
                <w:caps w:val="0"/>
                <w:color w:val="333333"/>
                <w:spacing w:val="0"/>
                <w:sz w:val="27"/>
                <w:szCs w:val="27"/>
              </w:rPr>
            </w:pPr>
          </w:p>
        </w:tc>
        <w:tc>
          <w:tcPr>
            <w:tcW w:w="4530" w:type="dxa"/>
            <w:gridSpan w:val="2"/>
            <w:tcBorders>
              <w:top w:val="nil"/>
              <w:left w:val="nil"/>
              <w:bottom w:val="nil"/>
              <w:right w:val="nil"/>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             单位：元/公里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2130" w:type="dxa"/>
            <w:tcBorders>
              <w:top w:val="single" w:color="auto" w:sz="6" w:space="0"/>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最大起飞全重</w:t>
            </w:r>
          </w:p>
        </w:tc>
        <w:tc>
          <w:tcPr>
            <w:tcW w:w="184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第一类航线</w:t>
            </w:r>
          </w:p>
        </w:tc>
        <w:tc>
          <w:tcPr>
            <w:tcW w:w="226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第二类航线</w:t>
            </w:r>
          </w:p>
        </w:tc>
        <w:tc>
          <w:tcPr>
            <w:tcW w:w="2265" w:type="dxa"/>
            <w:tcBorders>
              <w:top w:val="single" w:color="auto" w:sz="6" w:space="0"/>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第三类航线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≤50吨</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0.575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0.45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0.375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30"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50-100（含）</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1.15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0.925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0.725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5"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100-200（含）</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1.725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1.375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5" w:hRule="atLeast"/>
        </w:trPr>
        <w:tc>
          <w:tcPr>
            <w:tcW w:w="2130" w:type="dxa"/>
            <w:tcBorders>
              <w:top w:val="nil"/>
              <w:left w:val="single" w:color="auto" w:sz="6" w:space="0"/>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＞200吨</w:t>
            </w:r>
          </w:p>
        </w:tc>
        <w:tc>
          <w:tcPr>
            <w:tcW w:w="184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2.3</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1.825</w:t>
            </w:r>
          </w:p>
        </w:tc>
        <w:tc>
          <w:tcPr>
            <w:tcW w:w="2265" w:type="dxa"/>
            <w:tcBorders>
              <w:top w:val="nil"/>
              <w:left w:val="nil"/>
              <w:bottom w:val="single" w:color="auto" w:sz="6" w:space="0"/>
              <w:right w:val="single" w:color="auto" w:sz="6" w:space="0"/>
            </w:tcBorders>
            <w:shd w:val="clear" w:color="auto" w:fill="FFFFFF"/>
            <w:tcMar>
              <w:left w:w="105" w:type="dxa"/>
              <w:right w:w="105"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615" w:lineRule="atLeast"/>
              <w:ind w:left="0" w:right="0"/>
              <w:jc w:val="center"/>
              <w:rPr>
                <w:color w:val="333333"/>
                <w:sz w:val="21"/>
                <w:szCs w:val="21"/>
              </w:rPr>
            </w:pPr>
            <w:r>
              <w:rPr>
                <w:rFonts w:hint="eastAsia" w:ascii="仿宋_GB2312" w:hAnsi="微软雅黑" w:eastAsia="仿宋_GB2312" w:cs="仿宋_GB2312"/>
                <w:i w:val="0"/>
                <w:iCs w:val="0"/>
                <w:caps w:val="0"/>
                <w:color w:val="333333"/>
                <w:spacing w:val="0"/>
                <w:sz w:val="28"/>
                <w:szCs w:val="28"/>
              </w:rPr>
              <w:t>1.45</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450" w:lineRule="atLeast"/>
        <w:ind w:left="0" w:right="0" w:firstLine="0"/>
        <w:rPr>
          <w:rFonts w:hint="eastAsia" w:ascii="微软雅黑" w:hAnsi="微软雅黑" w:eastAsia="微软雅黑" w:cs="微软雅黑"/>
          <w:i w:val="0"/>
          <w:iCs w:val="0"/>
          <w:caps w:val="0"/>
          <w:color w:val="333333"/>
          <w:spacing w:val="0"/>
          <w:sz w:val="21"/>
          <w:szCs w:val="21"/>
        </w:rPr>
      </w:pPr>
      <w:r>
        <w:rPr>
          <w:rFonts w:hint="default" w:ascii="Calibri" w:hAnsi="Calibri" w:eastAsia="微软雅黑" w:cs="Calibri"/>
          <w:i w:val="0"/>
          <w:iCs w:val="0"/>
          <w:caps w:val="0"/>
          <w:color w:val="333333"/>
          <w:spacing w:val="0"/>
          <w:sz w:val="21"/>
          <w:szCs w:val="21"/>
          <w:shd w:val="clear" w:fill="FFFFFF"/>
        </w:rPr>
        <w:t>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0C2484"/>
    <w:rsid w:val="284E4787"/>
    <w:rsid w:val="780C248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2024-12-20T00:12:00Z</dcterms:created>
  <dc:creator>许兵</dc:creator>
  <cp:lastModifiedBy>许兵</cp:lastModifiedBy>
  <dcterms:modified xsi:type="dcterms:W3CDTF">2024-12-20T02:24:44Z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