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center"/>
        <w:rPr>
          <w:rFonts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关于对外资企业征收城市维护建设税和教育费附加有关问题的通知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right="0" w:firstLine="2925" w:firstLineChars="1300"/>
        <w:rPr>
          <w:rFonts w:hint="eastAsia" w:ascii="微软雅黑" w:hAnsi="微软雅黑" w:eastAsia="微软雅黑" w:cs="微软雅黑"/>
          <w:i w:val="0"/>
          <w:iCs w:val="0"/>
          <w:caps w:val="0"/>
          <w:color w:val="auto"/>
          <w:spacing w:val="0"/>
          <w:sz w:val="22"/>
          <w:szCs w:val="22"/>
          <w:bdr w:val="none" w:color="auto" w:sz="0" w:space="0"/>
          <w:shd w:val="clear" w:fill="FFFFFF"/>
        </w:rPr>
      </w:pPr>
      <w:r>
        <w:rPr>
          <w:rFonts w:hint="eastAsia" w:ascii="微软雅黑" w:hAnsi="微软雅黑" w:eastAsia="微软雅黑" w:cs="微软雅黑"/>
          <w:i w:val="0"/>
          <w:iCs w:val="0"/>
          <w:caps w:val="0"/>
          <w:color w:val="auto"/>
          <w:spacing w:val="0"/>
          <w:sz w:val="22"/>
          <w:szCs w:val="22"/>
          <w:bdr w:val="none" w:color="auto" w:sz="0" w:space="0"/>
          <w:shd w:val="clear" w:fill="FFFFFF"/>
        </w:rPr>
        <w:t>财税〔2010〕103号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bookmarkStart w:id="0" w:name="_GoBack"/>
      <w:bookmarkEnd w:id="0"/>
      <w:r>
        <w:rPr>
          <w:rFonts w:hint="eastAsia" w:ascii="微软雅黑" w:hAnsi="微软雅黑" w:eastAsia="微软雅黑" w:cs="微软雅黑"/>
          <w:i w:val="0"/>
          <w:iCs w:val="0"/>
          <w:caps w:val="0"/>
          <w:color w:val="auto"/>
          <w:spacing w:val="0"/>
          <w:sz w:val="22"/>
          <w:szCs w:val="22"/>
          <w:bdr w:val="none" w:color="auto" w:sz="0" w:space="0"/>
          <w:shd w:val="clear" w:fill="FFFFFF"/>
        </w:rPr>
        <w:t>各省、自治区、直辖市、计划单列市财政厅(局)、国家税务局、地方税务局，新疆生产建设兵团财务局：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根据《</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"https://www.shui5.cn/article/c8/46595.html"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国务院关于统一内外资企业和个人城市维护建设税和教育费附加制度的通知</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begin"/>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instrText xml:space="preserve"> HYPERLINK "https://www.shui5.cn/article/c8/46595.html" </w:instrTex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separate"/>
      </w:r>
      <w:r>
        <w:rPr>
          <w:rStyle w:val="5"/>
          <w:rFonts w:hint="eastAsia" w:ascii="微软雅黑" w:hAnsi="微软雅黑" w:eastAsia="微软雅黑" w:cs="微软雅黑"/>
          <w:i w:val="0"/>
          <w:iCs w:val="0"/>
          <w:caps w:val="0"/>
          <w:color w:val="auto"/>
          <w:spacing w:val="0"/>
          <w:sz w:val="22"/>
          <w:szCs w:val="22"/>
          <w:u w:val="none"/>
          <w:bdr w:val="none" w:color="auto" w:sz="0" w:space="0"/>
          <w:shd w:val="clear" w:fill="FFFFFF"/>
        </w:rPr>
        <w:t>国发[2010]35号</w:t>
      </w:r>
      <w:r>
        <w:rPr>
          <w:rFonts w:hint="eastAsia" w:ascii="微软雅黑" w:hAnsi="微软雅黑" w:eastAsia="微软雅黑" w:cs="微软雅黑"/>
          <w:i w:val="0"/>
          <w:iCs w:val="0"/>
          <w:caps w:val="0"/>
          <w:color w:val="auto"/>
          <w:spacing w:val="0"/>
          <w:sz w:val="22"/>
          <w:szCs w:val="22"/>
          <w:u w:val="none"/>
          <w:bdr w:val="none" w:color="auto" w:sz="0" w:space="0"/>
          <w:shd w:val="clear" w:fill="FFFFFF"/>
        </w:rPr>
        <w:fldChar w:fldCharType="end"/>
      </w:r>
      <w:r>
        <w:rPr>
          <w:rFonts w:hint="eastAsia" w:ascii="微软雅黑" w:hAnsi="微软雅黑" w:eastAsia="微软雅黑" w:cs="微软雅黑"/>
          <w:i w:val="0"/>
          <w:iCs w:val="0"/>
          <w:caps w:val="0"/>
          <w:color w:val="auto"/>
          <w:spacing w:val="0"/>
          <w:sz w:val="22"/>
          <w:szCs w:val="22"/>
          <w:bdr w:val="none" w:color="auto" w:sz="0" w:space="0"/>
          <w:shd w:val="clear" w:fill="FFFFFF"/>
        </w:rPr>
        <w:t>)决定，自2010年12月1日起，对外商投资企业、外国企业及外籍个人(以下简称外资企业)征收城市维护建设税和教育费附加。现将有关问题通知如下：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对外资企业2010年12月1日(含)之后发生纳税义务的增值税、消费税、营业税(以下简称“三税”)征收城市维护建设税和教育费附加;对外资企业2010年12月1日之前发生纳税义务的“三税”，不征收城市维护建设税和教育费附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　　各级财政、税务机关要增强服务意识，加强政策宣传，做好征管工作。对政策执行中遇到的问题，要认真研究，妥善解决，重大问题及时上报财政部、国家税务总局。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财政部 国家税务总局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25" w:afterAutospacing="0"/>
        <w:ind w:left="0" w:right="0" w:firstLine="0"/>
        <w:jc w:val="right"/>
        <w:rPr>
          <w:rFonts w:hint="eastAsia" w:ascii="微软雅黑" w:hAnsi="微软雅黑" w:eastAsia="微软雅黑" w:cs="微软雅黑"/>
          <w:i w:val="0"/>
          <w:iCs w:val="0"/>
          <w:caps w:val="0"/>
          <w:color w:val="auto"/>
          <w:spacing w:val="0"/>
          <w:sz w:val="22"/>
          <w:szCs w:val="22"/>
        </w:rPr>
      </w:pPr>
      <w:r>
        <w:rPr>
          <w:rFonts w:hint="eastAsia" w:ascii="微软雅黑" w:hAnsi="微软雅黑" w:eastAsia="微软雅黑" w:cs="微软雅黑"/>
          <w:i w:val="0"/>
          <w:iCs w:val="0"/>
          <w:caps w:val="0"/>
          <w:color w:val="auto"/>
          <w:spacing w:val="0"/>
          <w:sz w:val="22"/>
          <w:szCs w:val="22"/>
          <w:bdr w:val="none" w:color="auto" w:sz="0" w:space="0"/>
          <w:shd w:val="clear" w:fill="FFFFFF"/>
        </w:rPr>
        <w:t>2010年11月4日</w:t>
      </w:r>
    </w:p>
    <w:p>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微软雅黑">
    <w:panose1 w:val="020B0503020204020204"/>
    <w:charset w:val="86"/>
    <w:family w:val="auto"/>
    <w:pitch w:val="default"/>
    <w:sig w:usb0="80000287" w:usb1="2A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C57C24"/>
    <w:rsid w:val="46C57C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2024-12-20T02:19:00Z</dcterms:created>
  <dc:creator>许兵</dc:creator>
  <cp:lastModifiedBy>许兵</cp:lastModifiedBy>
  <dcterms:modified xsi:type="dcterms:W3CDTF">2024-12-20T02:20:41Z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