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jc w:val="center"/>
        <w:rPr>
          <w:rFonts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财政部关于统一地方教育附加政策有关问题的通知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3375" w:firstLineChars="1500"/>
        <w:rPr>
          <w:rFonts w:hint="eastAsia" w:ascii="微软雅黑" w:hAnsi="微软雅黑" w:eastAsia="微软雅黑" w:cs="微软雅黑"/>
          <w:i w:val="0"/>
          <w:iCs w:val="0"/>
          <w:caps w:val="0"/>
          <w:color w:val="auto"/>
          <w:spacing w:val="0"/>
          <w:sz w:val="22"/>
          <w:szCs w:val="22"/>
          <w:bdr w:val="none" w:color="auto" w:sz="0" w:space="0"/>
          <w:shd w:val="clear" w:fill="FFFFFF"/>
        </w:rPr>
      </w:pPr>
      <w:bookmarkStart w:id="0" w:name="_GoBack"/>
      <w:bookmarkEnd w:id="0"/>
      <w:r>
        <w:rPr>
          <w:rFonts w:hint="eastAsia" w:ascii="微软雅黑" w:hAnsi="微软雅黑" w:eastAsia="微软雅黑" w:cs="微软雅黑"/>
          <w:i w:val="0"/>
          <w:iCs w:val="0"/>
          <w:caps w:val="0"/>
          <w:color w:val="auto"/>
          <w:spacing w:val="0"/>
          <w:sz w:val="22"/>
          <w:szCs w:val="22"/>
          <w:bdr w:val="none" w:color="auto" w:sz="0" w:space="0"/>
          <w:shd w:val="clear" w:fill="FFFFFF"/>
        </w:rPr>
        <w:t>财综〔2010〕98号</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各省、自治区、直辖市财政厅(局)，新疆生产建设兵团财务局：</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　　为贯彻落实《</w:t>
      </w:r>
      <w:r>
        <w:rPr>
          <w:rFonts w:hint="eastAsia" w:ascii="微软雅黑" w:hAnsi="微软雅黑" w:eastAsia="微软雅黑" w:cs="微软雅黑"/>
          <w:i w:val="0"/>
          <w:iCs w:val="0"/>
          <w:caps w:val="0"/>
          <w:color w:val="auto"/>
          <w:spacing w:val="0"/>
          <w:sz w:val="22"/>
          <w:szCs w:val="22"/>
          <w:u w:val="none"/>
          <w:bdr w:val="none" w:color="auto" w:sz="0" w:space="0"/>
          <w:shd w:val="clear" w:fill="FFFFFF"/>
        </w:rPr>
        <w:fldChar w:fldCharType="begin"/>
      </w:r>
      <w:r>
        <w:rPr>
          <w:rFonts w:hint="eastAsia" w:ascii="微软雅黑" w:hAnsi="微软雅黑" w:eastAsia="微软雅黑" w:cs="微软雅黑"/>
          <w:i w:val="0"/>
          <w:iCs w:val="0"/>
          <w:caps w:val="0"/>
          <w:color w:val="auto"/>
          <w:spacing w:val="0"/>
          <w:sz w:val="22"/>
          <w:szCs w:val="22"/>
          <w:u w:val="none"/>
          <w:bdr w:val="none" w:color="auto" w:sz="0" w:space="0"/>
          <w:shd w:val="clear" w:fill="FFFFFF"/>
        </w:rPr>
        <w:instrText xml:space="preserve"> HYPERLINK "https://www.shui5.cn/article/d5/145817.html" \t "https://www.shui5.cn/article/69/_blank" </w:instrText>
      </w:r>
      <w:r>
        <w:rPr>
          <w:rFonts w:hint="eastAsia" w:ascii="微软雅黑" w:hAnsi="微软雅黑" w:eastAsia="微软雅黑" w:cs="微软雅黑"/>
          <w:i w:val="0"/>
          <w:iCs w:val="0"/>
          <w:caps w:val="0"/>
          <w:color w:val="auto"/>
          <w:spacing w:val="0"/>
          <w:sz w:val="22"/>
          <w:szCs w:val="22"/>
          <w:u w:val="none"/>
          <w:bdr w:val="none" w:color="auto" w:sz="0" w:space="0"/>
          <w:shd w:val="clear" w:fill="FFFFFF"/>
        </w:rPr>
        <w:fldChar w:fldCharType="separate"/>
      </w:r>
      <w:r>
        <w:rPr>
          <w:rStyle w:val="5"/>
          <w:rFonts w:hint="eastAsia" w:ascii="微软雅黑" w:hAnsi="微软雅黑" w:eastAsia="微软雅黑" w:cs="微软雅黑"/>
          <w:i w:val="0"/>
          <w:iCs w:val="0"/>
          <w:caps w:val="0"/>
          <w:color w:val="auto"/>
          <w:spacing w:val="0"/>
          <w:sz w:val="22"/>
          <w:szCs w:val="22"/>
          <w:u w:val="none"/>
          <w:bdr w:val="none" w:color="auto" w:sz="0" w:space="0"/>
          <w:shd w:val="clear" w:fill="FFFFFF"/>
        </w:rPr>
        <w:t>国家中长期教育改革和发展规划纲要(2010-2020年)</w:t>
      </w:r>
      <w:r>
        <w:rPr>
          <w:rFonts w:hint="eastAsia" w:ascii="微软雅黑" w:hAnsi="微软雅黑" w:eastAsia="微软雅黑" w:cs="微软雅黑"/>
          <w:i w:val="0"/>
          <w:iCs w:val="0"/>
          <w:caps w:val="0"/>
          <w:color w:val="auto"/>
          <w:spacing w:val="0"/>
          <w:sz w:val="22"/>
          <w:szCs w:val="22"/>
          <w:u w:val="none"/>
          <w:bdr w:val="none" w:color="auto" w:sz="0" w:space="0"/>
          <w:shd w:val="clear" w:fill="FFFFFF"/>
        </w:rPr>
        <w:fldChar w:fldCharType="end"/>
      </w:r>
      <w:r>
        <w:rPr>
          <w:rFonts w:hint="eastAsia" w:ascii="微软雅黑" w:hAnsi="微软雅黑" w:eastAsia="微软雅黑" w:cs="微软雅黑"/>
          <w:i w:val="0"/>
          <w:iCs w:val="0"/>
          <w:caps w:val="0"/>
          <w:color w:val="auto"/>
          <w:spacing w:val="0"/>
          <w:sz w:val="22"/>
          <w:szCs w:val="22"/>
          <w:bdr w:val="none" w:color="auto" w:sz="0" w:space="0"/>
          <w:shd w:val="clear" w:fill="FFFFFF"/>
        </w:rPr>
        <w:t>》，进一步规范和拓宽财政性教育经费筹资渠道，支持地方教育事业发展，根据国务院有关工作部署和具体要求，现就统一地方教育附加政策有关事宜通知如下：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　　一、统一开征地方教育附加。尚未开征地方教育附加的省份，省级财政部门应按照《教育法》的规定，根据本地区实际情况尽快研究制定开征地方教育附加的方案，报省级人民政府同意后，由省级人民政府于2010年12月31日前报财政部审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　　二、统一地方教育附加征收标准。地方教育附加征收标准统一为单位和个人(包括外商投资企业、外国企业及外籍个人)实际缴纳的增值税、营业税和消费税税额的2%。已经财政部审批且征收标准低于2%的省份，应将地方教育附加的征收标准调整为2%，调整征收标准的方案由省级人民政府于2010年12月31日前报财政部审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　　三、各省、自治区、直辖市财政部门要严格按照《教育法》规定和财政部批复意见，采取有效措施，切实加强地方教育附加征收使用管理，确保基金应收尽收，专项用于发展教育事业，不得从地方教育附加中提取或列支征收或代征手续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　　四、凡未经财政部或国务院批准，擅自多征、减征、缓征、停征，或者侵占、截留、挪用地方教育附加的，要依照《</w:t>
      </w:r>
      <w:r>
        <w:rPr>
          <w:rFonts w:hint="eastAsia" w:ascii="微软雅黑" w:hAnsi="微软雅黑" w:eastAsia="微软雅黑" w:cs="微软雅黑"/>
          <w:i w:val="0"/>
          <w:iCs w:val="0"/>
          <w:caps w:val="0"/>
          <w:color w:val="auto"/>
          <w:spacing w:val="0"/>
          <w:sz w:val="22"/>
          <w:szCs w:val="22"/>
          <w:u w:val="none"/>
          <w:bdr w:val="none" w:color="auto" w:sz="0" w:space="0"/>
          <w:shd w:val="clear" w:fill="FFFFFF"/>
        </w:rPr>
        <w:fldChar w:fldCharType="begin"/>
      </w:r>
      <w:r>
        <w:rPr>
          <w:rFonts w:hint="eastAsia" w:ascii="微软雅黑" w:hAnsi="微软雅黑" w:eastAsia="微软雅黑" w:cs="微软雅黑"/>
          <w:i w:val="0"/>
          <w:iCs w:val="0"/>
          <w:caps w:val="0"/>
          <w:color w:val="auto"/>
          <w:spacing w:val="0"/>
          <w:sz w:val="22"/>
          <w:szCs w:val="22"/>
          <w:u w:val="none"/>
          <w:bdr w:val="none" w:color="auto" w:sz="0" w:space="0"/>
          <w:shd w:val="clear" w:fill="FFFFFF"/>
        </w:rPr>
        <w:instrText xml:space="preserve"> HYPERLINK "https://www.shui5.cn/article/a2/3818.html" </w:instrText>
      </w:r>
      <w:r>
        <w:rPr>
          <w:rFonts w:hint="eastAsia" w:ascii="微软雅黑" w:hAnsi="微软雅黑" w:eastAsia="微软雅黑" w:cs="微软雅黑"/>
          <w:i w:val="0"/>
          <w:iCs w:val="0"/>
          <w:caps w:val="0"/>
          <w:color w:val="auto"/>
          <w:spacing w:val="0"/>
          <w:sz w:val="22"/>
          <w:szCs w:val="22"/>
          <w:u w:val="none"/>
          <w:bdr w:val="none" w:color="auto" w:sz="0" w:space="0"/>
          <w:shd w:val="clear" w:fill="FFFFFF"/>
        </w:rPr>
        <w:fldChar w:fldCharType="separate"/>
      </w:r>
      <w:r>
        <w:rPr>
          <w:rStyle w:val="5"/>
          <w:rFonts w:hint="eastAsia" w:ascii="微软雅黑" w:hAnsi="微软雅黑" w:eastAsia="微软雅黑" w:cs="微软雅黑"/>
          <w:i w:val="0"/>
          <w:iCs w:val="0"/>
          <w:caps w:val="0"/>
          <w:color w:val="auto"/>
          <w:spacing w:val="0"/>
          <w:sz w:val="22"/>
          <w:szCs w:val="22"/>
          <w:u w:val="none"/>
          <w:bdr w:val="none" w:color="auto" w:sz="0" w:space="0"/>
          <w:shd w:val="clear" w:fill="FFFFFF"/>
        </w:rPr>
        <w:t>财政违法行为处罚处分条例</w:t>
      </w:r>
      <w:r>
        <w:rPr>
          <w:rFonts w:hint="eastAsia" w:ascii="微软雅黑" w:hAnsi="微软雅黑" w:eastAsia="微软雅黑" w:cs="微软雅黑"/>
          <w:i w:val="0"/>
          <w:iCs w:val="0"/>
          <w:caps w:val="0"/>
          <w:color w:val="auto"/>
          <w:spacing w:val="0"/>
          <w:sz w:val="22"/>
          <w:szCs w:val="22"/>
          <w:u w:val="none"/>
          <w:bdr w:val="none" w:color="auto" w:sz="0" w:space="0"/>
          <w:shd w:val="clear" w:fill="FFFFFF"/>
        </w:rPr>
        <w:fldChar w:fldCharType="end"/>
      </w:r>
      <w:r>
        <w:rPr>
          <w:rFonts w:hint="eastAsia" w:ascii="微软雅黑" w:hAnsi="微软雅黑" w:eastAsia="微软雅黑" w:cs="微软雅黑"/>
          <w:i w:val="0"/>
          <w:iCs w:val="0"/>
          <w:caps w:val="0"/>
          <w:color w:val="auto"/>
          <w:spacing w:val="0"/>
          <w:sz w:val="22"/>
          <w:szCs w:val="22"/>
          <w:bdr w:val="none" w:color="auto" w:sz="0" w:space="0"/>
          <w:shd w:val="clear" w:fill="FFFFFF"/>
        </w:rPr>
        <w:t>》(</w:t>
      </w:r>
      <w:r>
        <w:rPr>
          <w:rFonts w:hint="eastAsia" w:ascii="微软雅黑" w:hAnsi="微软雅黑" w:eastAsia="微软雅黑" w:cs="微软雅黑"/>
          <w:i w:val="0"/>
          <w:iCs w:val="0"/>
          <w:caps w:val="0"/>
          <w:color w:val="auto"/>
          <w:spacing w:val="0"/>
          <w:sz w:val="22"/>
          <w:szCs w:val="22"/>
          <w:u w:val="none"/>
          <w:bdr w:val="none" w:color="auto" w:sz="0" w:space="0"/>
          <w:shd w:val="clear" w:fill="FFFFFF"/>
        </w:rPr>
        <w:fldChar w:fldCharType="begin"/>
      </w:r>
      <w:r>
        <w:rPr>
          <w:rFonts w:hint="eastAsia" w:ascii="微软雅黑" w:hAnsi="微软雅黑" w:eastAsia="微软雅黑" w:cs="微软雅黑"/>
          <w:i w:val="0"/>
          <w:iCs w:val="0"/>
          <w:caps w:val="0"/>
          <w:color w:val="auto"/>
          <w:spacing w:val="0"/>
          <w:sz w:val="22"/>
          <w:szCs w:val="22"/>
          <w:u w:val="none"/>
          <w:bdr w:val="none" w:color="auto" w:sz="0" w:space="0"/>
          <w:shd w:val="clear" w:fill="FFFFFF"/>
        </w:rPr>
        <w:instrText xml:space="preserve"> HYPERLINK "https://www.shui5.cn/article/a2/3818.html" </w:instrText>
      </w:r>
      <w:r>
        <w:rPr>
          <w:rFonts w:hint="eastAsia" w:ascii="微软雅黑" w:hAnsi="微软雅黑" w:eastAsia="微软雅黑" w:cs="微软雅黑"/>
          <w:i w:val="0"/>
          <w:iCs w:val="0"/>
          <w:caps w:val="0"/>
          <w:color w:val="auto"/>
          <w:spacing w:val="0"/>
          <w:sz w:val="22"/>
          <w:szCs w:val="22"/>
          <w:u w:val="none"/>
          <w:bdr w:val="none" w:color="auto" w:sz="0" w:space="0"/>
          <w:shd w:val="clear" w:fill="FFFFFF"/>
        </w:rPr>
        <w:fldChar w:fldCharType="separate"/>
      </w:r>
      <w:r>
        <w:rPr>
          <w:rStyle w:val="5"/>
          <w:rFonts w:hint="eastAsia" w:ascii="微软雅黑" w:hAnsi="微软雅黑" w:eastAsia="微软雅黑" w:cs="微软雅黑"/>
          <w:i w:val="0"/>
          <w:iCs w:val="0"/>
          <w:caps w:val="0"/>
          <w:color w:val="auto"/>
          <w:spacing w:val="0"/>
          <w:sz w:val="22"/>
          <w:szCs w:val="22"/>
          <w:u w:val="none"/>
          <w:bdr w:val="none" w:color="auto" w:sz="0" w:space="0"/>
          <w:shd w:val="clear" w:fill="FFFFFF"/>
        </w:rPr>
        <w:t>国务院令第427号</w:t>
      </w:r>
      <w:r>
        <w:rPr>
          <w:rFonts w:hint="eastAsia" w:ascii="微软雅黑" w:hAnsi="微软雅黑" w:eastAsia="微软雅黑" w:cs="微软雅黑"/>
          <w:i w:val="0"/>
          <w:iCs w:val="0"/>
          <w:caps w:val="0"/>
          <w:color w:val="auto"/>
          <w:spacing w:val="0"/>
          <w:sz w:val="22"/>
          <w:szCs w:val="22"/>
          <w:u w:val="none"/>
          <w:bdr w:val="none" w:color="auto" w:sz="0" w:space="0"/>
          <w:shd w:val="clear" w:fill="FFFFFF"/>
        </w:rPr>
        <w:fldChar w:fldCharType="end"/>
      </w:r>
      <w:r>
        <w:rPr>
          <w:rFonts w:hint="eastAsia" w:ascii="微软雅黑" w:hAnsi="微软雅黑" w:eastAsia="微软雅黑" w:cs="微软雅黑"/>
          <w:i w:val="0"/>
          <w:iCs w:val="0"/>
          <w:caps w:val="0"/>
          <w:color w:val="auto"/>
          <w:spacing w:val="0"/>
          <w:sz w:val="22"/>
          <w:szCs w:val="22"/>
          <w:bdr w:val="none" w:color="auto" w:sz="0" w:space="0"/>
          <w:shd w:val="clear" w:fill="FFFFFF"/>
        </w:rPr>
        <w:t>)和《</w:t>
      </w:r>
      <w:r>
        <w:rPr>
          <w:rFonts w:hint="eastAsia" w:ascii="微软雅黑" w:hAnsi="微软雅黑" w:eastAsia="微软雅黑" w:cs="微软雅黑"/>
          <w:i w:val="0"/>
          <w:iCs w:val="0"/>
          <w:caps w:val="0"/>
          <w:color w:val="auto"/>
          <w:spacing w:val="0"/>
          <w:sz w:val="22"/>
          <w:szCs w:val="22"/>
          <w:u w:val="none"/>
          <w:bdr w:val="none" w:color="auto" w:sz="0" w:space="0"/>
          <w:shd w:val="clear" w:fill="FFFFFF"/>
        </w:rPr>
        <w:fldChar w:fldCharType="begin"/>
      </w:r>
      <w:r>
        <w:rPr>
          <w:rFonts w:hint="eastAsia" w:ascii="微软雅黑" w:hAnsi="微软雅黑" w:eastAsia="微软雅黑" w:cs="微软雅黑"/>
          <w:i w:val="0"/>
          <w:iCs w:val="0"/>
          <w:caps w:val="0"/>
          <w:color w:val="auto"/>
          <w:spacing w:val="0"/>
          <w:sz w:val="22"/>
          <w:szCs w:val="22"/>
          <w:u w:val="none"/>
          <w:bdr w:val="none" w:color="auto" w:sz="0" w:space="0"/>
          <w:shd w:val="clear" w:fill="FFFFFF"/>
        </w:rPr>
        <w:instrText xml:space="preserve"> HYPERLINK "https://www.shui5.cn/article/eb/23695.html" </w:instrText>
      </w:r>
      <w:r>
        <w:rPr>
          <w:rFonts w:hint="eastAsia" w:ascii="微软雅黑" w:hAnsi="微软雅黑" w:eastAsia="微软雅黑" w:cs="微软雅黑"/>
          <w:i w:val="0"/>
          <w:iCs w:val="0"/>
          <w:caps w:val="0"/>
          <w:color w:val="auto"/>
          <w:spacing w:val="0"/>
          <w:sz w:val="22"/>
          <w:szCs w:val="22"/>
          <w:u w:val="none"/>
          <w:bdr w:val="none" w:color="auto" w:sz="0" w:space="0"/>
          <w:shd w:val="clear" w:fill="FFFFFF"/>
        </w:rPr>
        <w:fldChar w:fldCharType="separate"/>
      </w:r>
      <w:r>
        <w:rPr>
          <w:rStyle w:val="5"/>
          <w:rFonts w:hint="eastAsia" w:ascii="微软雅黑" w:hAnsi="微软雅黑" w:eastAsia="微软雅黑" w:cs="微软雅黑"/>
          <w:i w:val="0"/>
          <w:iCs w:val="0"/>
          <w:caps w:val="0"/>
          <w:color w:val="auto"/>
          <w:spacing w:val="0"/>
          <w:sz w:val="22"/>
          <w:szCs w:val="22"/>
          <w:u w:val="none"/>
          <w:bdr w:val="none" w:color="auto" w:sz="0" w:space="0"/>
          <w:shd w:val="clear" w:fill="FFFFFF"/>
        </w:rPr>
        <w:t>违反行政事业性收费和罚没收入收支两条线管理规定行政处分暂行规定</w:t>
      </w:r>
      <w:r>
        <w:rPr>
          <w:rFonts w:hint="eastAsia" w:ascii="微软雅黑" w:hAnsi="微软雅黑" w:eastAsia="微软雅黑" w:cs="微软雅黑"/>
          <w:i w:val="0"/>
          <w:iCs w:val="0"/>
          <w:caps w:val="0"/>
          <w:color w:val="auto"/>
          <w:spacing w:val="0"/>
          <w:sz w:val="22"/>
          <w:szCs w:val="22"/>
          <w:u w:val="none"/>
          <w:bdr w:val="none" w:color="auto" w:sz="0" w:space="0"/>
          <w:shd w:val="clear" w:fill="FFFFFF"/>
        </w:rPr>
        <w:fldChar w:fldCharType="end"/>
      </w:r>
      <w:r>
        <w:rPr>
          <w:rFonts w:hint="eastAsia" w:ascii="微软雅黑" w:hAnsi="微软雅黑" w:eastAsia="微软雅黑" w:cs="微软雅黑"/>
          <w:i w:val="0"/>
          <w:iCs w:val="0"/>
          <w:caps w:val="0"/>
          <w:color w:val="auto"/>
          <w:spacing w:val="0"/>
          <w:sz w:val="22"/>
          <w:szCs w:val="22"/>
          <w:bdr w:val="none" w:color="auto" w:sz="0" w:space="0"/>
          <w:shd w:val="clear" w:fill="FFFFFF"/>
        </w:rPr>
        <w:t>》(</w:t>
      </w:r>
      <w:r>
        <w:rPr>
          <w:rFonts w:hint="eastAsia" w:ascii="微软雅黑" w:hAnsi="微软雅黑" w:eastAsia="微软雅黑" w:cs="微软雅黑"/>
          <w:i w:val="0"/>
          <w:iCs w:val="0"/>
          <w:caps w:val="0"/>
          <w:color w:val="auto"/>
          <w:spacing w:val="0"/>
          <w:sz w:val="22"/>
          <w:szCs w:val="22"/>
          <w:u w:val="none"/>
          <w:bdr w:val="none" w:color="auto" w:sz="0" w:space="0"/>
          <w:shd w:val="clear" w:fill="FFFFFF"/>
        </w:rPr>
        <w:fldChar w:fldCharType="begin"/>
      </w:r>
      <w:r>
        <w:rPr>
          <w:rFonts w:hint="eastAsia" w:ascii="微软雅黑" w:hAnsi="微软雅黑" w:eastAsia="微软雅黑" w:cs="微软雅黑"/>
          <w:i w:val="0"/>
          <w:iCs w:val="0"/>
          <w:caps w:val="0"/>
          <w:color w:val="auto"/>
          <w:spacing w:val="0"/>
          <w:sz w:val="22"/>
          <w:szCs w:val="22"/>
          <w:u w:val="none"/>
          <w:bdr w:val="none" w:color="auto" w:sz="0" w:space="0"/>
          <w:shd w:val="clear" w:fill="FFFFFF"/>
        </w:rPr>
        <w:instrText xml:space="preserve"> HYPERLINK "https://www.shui5.cn/article/eb/23695.html" </w:instrText>
      </w:r>
      <w:r>
        <w:rPr>
          <w:rFonts w:hint="eastAsia" w:ascii="微软雅黑" w:hAnsi="微软雅黑" w:eastAsia="微软雅黑" w:cs="微软雅黑"/>
          <w:i w:val="0"/>
          <w:iCs w:val="0"/>
          <w:caps w:val="0"/>
          <w:color w:val="auto"/>
          <w:spacing w:val="0"/>
          <w:sz w:val="22"/>
          <w:szCs w:val="22"/>
          <w:u w:val="none"/>
          <w:bdr w:val="none" w:color="auto" w:sz="0" w:space="0"/>
          <w:shd w:val="clear" w:fill="FFFFFF"/>
        </w:rPr>
        <w:fldChar w:fldCharType="separate"/>
      </w:r>
      <w:r>
        <w:rPr>
          <w:rStyle w:val="5"/>
          <w:rFonts w:hint="eastAsia" w:ascii="微软雅黑" w:hAnsi="微软雅黑" w:eastAsia="微软雅黑" w:cs="微软雅黑"/>
          <w:i w:val="0"/>
          <w:iCs w:val="0"/>
          <w:caps w:val="0"/>
          <w:color w:val="auto"/>
          <w:spacing w:val="0"/>
          <w:sz w:val="22"/>
          <w:szCs w:val="22"/>
          <w:u w:val="none"/>
          <w:bdr w:val="none" w:color="auto" w:sz="0" w:space="0"/>
          <w:shd w:val="clear" w:fill="FFFFFF"/>
        </w:rPr>
        <w:t>国务院令第281号</w:t>
      </w:r>
      <w:r>
        <w:rPr>
          <w:rFonts w:hint="eastAsia" w:ascii="微软雅黑" w:hAnsi="微软雅黑" w:eastAsia="微软雅黑" w:cs="微软雅黑"/>
          <w:i w:val="0"/>
          <w:iCs w:val="0"/>
          <w:caps w:val="0"/>
          <w:color w:val="auto"/>
          <w:spacing w:val="0"/>
          <w:sz w:val="22"/>
          <w:szCs w:val="22"/>
          <w:u w:val="none"/>
          <w:bdr w:val="none" w:color="auto" w:sz="0" w:space="0"/>
          <w:shd w:val="clear" w:fill="FFFFFF"/>
        </w:rPr>
        <w:fldChar w:fldCharType="end"/>
      </w:r>
      <w:r>
        <w:rPr>
          <w:rFonts w:hint="eastAsia" w:ascii="微软雅黑" w:hAnsi="微软雅黑" w:eastAsia="微软雅黑" w:cs="微软雅黑"/>
          <w:i w:val="0"/>
          <w:iCs w:val="0"/>
          <w:caps w:val="0"/>
          <w:color w:val="auto"/>
          <w:spacing w:val="0"/>
          <w:sz w:val="22"/>
          <w:szCs w:val="22"/>
          <w:bdr w:val="none" w:color="auto" w:sz="0" w:space="0"/>
          <w:shd w:val="clear" w:fill="FFFFFF"/>
        </w:rPr>
        <w:t>)追究责任人的行政责任;构成犯罪的，依法追究刑事责任。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jc w:val="right"/>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财政部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jc w:val="right"/>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2010年11月7日</w:t>
      </w:r>
    </w:p>
    <w:p>
      <w:pPr>
        <w:rPr>
          <w:color w:val="auto"/>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微软雅黑">
    <w:panose1 w:val="020B0503020204020204"/>
    <w:charset w:val="86"/>
    <w:family w:val="auto"/>
    <w:pitch w:val="default"/>
    <w:sig w:usb0="80000287" w:usb1="2A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07069BE"/>
    <w:rsid w:val="507069B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Hyperlink"/>
    <w:basedOn w:val="4"/>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Office_11.8.2.10154_F1E327BC-269C-435d-A152-05C5408002CA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2024-12-20T02:39:00Z</dcterms:created>
  <dc:creator>许兵</dc:creator>
  <cp:lastModifiedBy>许兵</cp:lastModifiedBy>
  <dcterms:modified xsi:type="dcterms:W3CDTF">2024-12-20T02:41:03Z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2052-11.8.2.10154</vt:lpwstr>
  </property>
</Properties>
</file>