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8A84E">
      <w:pPr>
        <w:spacing w:line="260" w:lineRule="auto"/>
        <w:rPr>
          <w:rFonts w:ascii="Arial"/>
          <w:sz w:val="21"/>
        </w:rPr>
      </w:pPr>
      <w:bookmarkStart w:id="0" w:name="_GoBack"/>
      <w:bookmarkEnd w:id="0"/>
    </w:p>
    <w:p w14:paraId="5C7959C5">
      <w:pPr>
        <w:spacing w:line="260" w:lineRule="auto"/>
        <w:rPr>
          <w:rFonts w:ascii="Arial"/>
          <w:sz w:val="21"/>
        </w:rPr>
      </w:pPr>
    </w:p>
    <w:p w14:paraId="7EF245AE">
      <w:pPr>
        <w:spacing w:line="260" w:lineRule="auto"/>
        <w:rPr>
          <w:rFonts w:ascii="Arial"/>
          <w:sz w:val="21"/>
        </w:rPr>
      </w:pPr>
    </w:p>
    <w:p w14:paraId="6ED433A6">
      <w:pPr>
        <w:spacing w:line="260" w:lineRule="auto"/>
        <w:rPr>
          <w:rFonts w:ascii="Arial"/>
          <w:sz w:val="21"/>
        </w:rPr>
      </w:pPr>
    </w:p>
    <w:p w14:paraId="025BBBF0">
      <w:pPr>
        <w:spacing w:line="260" w:lineRule="auto"/>
        <w:rPr>
          <w:rFonts w:ascii="Arial"/>
          <w:sz w:val="21"/>
        </w:rPr>
      </w:pPr>
    </w:p>
    <w:p w14:paraId="1B3BAE84">
      <w:pPr>
        <w:spacing w:line="260" w:lineRule="auto"/>
        <w:rPr>
          <w:rFonts w:ascii="Arial"/>
          <w:sz w:val="21"/>
        </w:rPr>
      </w:pPr>
    </w:p>
    <w:p w14:paraId="7A1E5937">
      <w:pPr>
        <w:spacing w:line="260" w:lineRule="auto"/>
        <w:rPr>
          <w:rFonts w:ascii="Arial"/>
          <w:sz w:val="21"/>
        </w:rPr>
      </w:pPr>
    </w:p>
    <w:p w14:paraId="148A1030">
      <w:pPr>
        <w:spacing w:line="261" w:lineRule="auto"/>
        <w:rPr>
          <w:rFonts w:ascii="Arial"/>
          <w:sz w:val="21"/>
        </w:rPr>
      </w:pPr>
    </w:p>
    <w:p w14:paraId="38896186">
      <w:pPr>
        <w:spacing w:before="665" w:line="175" w:lineRule="auto"/>
        <w:jc w:val="right"/>
        <w:outlineLvl w:val="0"/>
        <w:rPr>
          <w:rFonts w:ascii="微软雅黑" w:hAnsi="微软雅黑" w:eastAsia="微软雅黑" w:cs="微软雅黑"/>
          <w:sz w:val="155"/>
          <w:szCs w:val="155"/>
        </w:rPr>
      </w:pPr>
      <w:r>
        <w:rPr>
          <w:rFonts w:ascii="微软雅黑" w:hAnsi="微软雅黑" w:eastAsia="微软雅黑" w:cs="微软雅黑"/>
          <w:b/>
          <w:bCs/>
          <w:color w:val="FF0000"/>
          <w:spacing w:val="-40"/>
          <w:w w:val="45"/>
          <w:sz w:val="155"/>
          <w:szCs w:val="155"/>
        </w:rPr>
        <w:t>铜</w:t>
      </w:r>
      <w:r>
        <w:rPr>
          <w:rFonts w:ascii="微软雅黑" w:hAnsi="微软雅黑" w:eastAsia="微软雅黑" w:cs="微软雅黑"/>
          <w:b/>
          <w:bCs/>
          <w:color w:val="FF0000"/>
          <w:spacing w:val="-69"/>
          <w:sz w:val="155"/>
          <w:szCs w:val="155"/>
        </w:rPr>
        <w:t xml:space="preserve"> </w:t>
      </w:r>
      <w:r>
        <w:rPr>
          <w:rFonts w:ascii="微软雅黑" w:hAnsi="微软雅黑" w:eastAsia="微软雅黑" w:cs="微软雅黑"/>
          <w:b/>
          <w:bCs/>
          <w:color w:val="FF0000"/>
          <w:spacing w:val="-40"/>
          <w:w w:val="45"/>
          <w:sz w:val="155"/>
          <w:szCs w:val="155"/>
        </w:rPr>
        <w:t>陵 市 人 民 政 府</w:t>
      </w:r>
      <w:r>
        <w:rPr>
          <w:rFonts w:ascii="微软雅黑" w:hAnsi="微软雅黑" w:eastAsia="微软雅黑" w:cs="微软雅黑"/>
          <w:b/>
          <w:bCs/>
          <w:color w:val="FF0000"/>
          <w:spacing w:val="-235"/>
          <w:sz w:val="155"/>
          <w:szCs w:val="155"/>
        </w:rPr>
        <w:t xml:space="preserve"> </w:t>
      </w:r>
      <w:r>
        <w:rPr>
          <w:rFonts w:ascii="微软雅黑" w:hAnsi="微软雅黑" w:eastAsia="微软雅黑" w:cs="微软雅黑"/>
          <w:b/>
          <w:bCs/>
          <w:color w:val="FF0000"/>
          <w:spacing w:val="-40"/>
          <w:w w:val="45"/>
          <w:sz w:val="155"/>
          <w:szCs w:val="155"/>
        </w:rPr>
        <w:t>办</w:t>
      </w:r>
      <w:r>
        <w:rPr>
          <w:rFonts w:ascii="微软雅黑" w:hAnsi="微软雅黑" w:eastAsia="微软雅黑" w:cs="微软雅黑"/>
          <w:b/>
          <w:bCs/>
          <w:color w:val="FF0000"/>
          <w:spacing w:val="-242"/>
          <w:sz w:val="155"/>
          <w:szCs w:val="155"/>
        </w:rPr>
        <w:t xml:space="preserve"> </w:t>
      </w:r>
      <w:r>
        <w:rPr>
          <w:rFonts w:ascii="微软雅黑" w:hAnsi="微软雅黑" w:eastAsia="微软雅黑" w:cs="微软雅黑"/>
          <w:b/>
          <w:bCs/>
          <w:color w:val="FF0000"/>
          <w:spacing w:val="-40"/>
          <w:w w:val="45"/>
          <w:sz w:val="155"/>
          <w:szCs w:val="155"/>
        </w:rPr>
        <w:t>公</w:t>
      </w:r>
      <w:r>
        <w:rPr>
          <w:rFonts w:ascii="微软雅黑" w:hAnsi="微软雅黑" w:eastAsia="微软雅黑" w:cs="微软雅黑"/>
          <w:b/>
          <w:bCs/>
          <w:color w:val="FF0000"/>
          <w:spacing w:val="-213"/>
          <w:sz w:val="155"/>
          <w:szCs w:val="155"/>
        </w:rPr>
        <w:t xml:space="preserve"> </w:t>
      </w:r>
      <w:r>
        <w:rPr>
          <w:rFonts w:ascii="微软雅黑" w:hAnsi="微软雅黑" w:eastAsia="微软雅黑" w:cs="微软雅黑"/>
          <w:b/>
          <w:bCs/>
          <w:color w:val="FF0000"/>
          <w:spacing w:val="-40"/>
          <w:w w:val="45"/>
          <w:sz w:val="155"/>
          <w:szCs w:val="155"/>
        </w:rPr>
        <w:t>室</w:t>
      </w:r>
    </w:p>
    <w:p w14:paraId="22C7DD30">
      <w:pPr>
        <w:spacing w:line="313" w:lineRule="auto"/>
        <w:rPr>
          <w:rFonts w:ascii="Arial"/>
          <w:sz w:val="21"/>
        </w:rPr>
      </w:pPr>
    </w:p>
    <w:p w14:paraId="1EE0B5B5">
      <w:pPr>
        <w:spacing w:line="313" w:lineRule="auto"/>
        <w:rPr>
          <w:rFonts w:ascii="Arial"/>
          <w:sz w:val="21"/>
        </w:rPr>
      </w:pPr>
    </w:p>
    <w:p w14:paraId="38ABBA87">
      <w:pPr>
        <w:pStyle w:val="2"/>
        <w:spacing w:before="101" w:line="224" w:lineRule="auto"/>
        <w:ind w:left="3312"/>
      </w:pPr>
      <w:r>
        <w:t>办〔</w:t>
      </w:r>
      <w:r>
        <w:rPr>
          <w:rFonts w:ascii="Times New Roman" w:hAnsi="Times New Roman" w:eastAsia="Times New Roman" w:cs="Times New Roman"/>
        </w:rPr>
        <w:t>2020</w:t>
      </w:r>
      <w:r>
        <w:t>〕</w:t>
      </w:r>
      <w:r>
        <w:rPr>
          <w:rFonts w:ascii="Times New Roman" w:hAnsi="Times New Roman" w:eastAsia="Times New Roman" w:cs="Times New Roman"/>
        </w:rPr>
        <w:t>11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t>号</w:t>
      </w:r>
    </w:p>
    <w:p w14:paraId="4D037E0F">
      <w:pPr>
        <w:spacing w:before="175" w:line="49" w:lineRule="exact"/>
      </w:pPr>
      <w:r>
        <w:drawing>
          <wp:inline distT="0" distB="0" distL="0" distR="0">
            <wp:extent cx="5619750" cy="311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9762" cy="3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B6C17">
      <w:pPr>
        <w:spacing w:line="341" w:lineRule="auto"/>
        <w:rPr>
          <w:rFonts w:ascii="Arial"/>
          <w:sz w:val="21"/>
        </w:rPr>
      </w:pPr>
    </w:p>
    <w:p w14:paraId="6C06C632">
      <w:pPr>
        <w:spacing w:line="341" w:lineRule="auto"/>
        <w:rPr>
          <w:rFonts w:ascii="Arial"/>
          <w:sz w:val="21"/>
        </w:rPr>
      </w:pPr>
    </w:p>
    <w:p w14:paraId="12C1A43A">
      <w:pPr>
        <w:spacing w:before="185" w:line="180" w:lineRule="auto"/>
        <w:ind w:left="246" w:right="16" w:hanging="21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10"/>
          <w:sz w:val="43"/>
          <w:szCs w:val="43"/>
        </w:rPr>
        <w:t>铜陵市人民政府办公室关于印发铜陵市高新技术</w:t>
      </w:r>
      <w:r>
        <w:rPr>
          <w:rFonts w:ascii="微软雅黑" w:hAnsi="微软雅黑" w:eastAsia="微软雅黑" w:cs="微软雅黑"/>
          <w:spacing w:val="3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18"/>
          <w:sz w:val="43"/>
          <w:szCs w:val="43"/>
        </w:rPr>
        <w:t xml:space="preserve">企业倍增计划实施方案（ </w:t>
      </w:r>
      <w:r>
        <w:rPr>
          <w:rFonts w:ascii="Times New Roman" w:hAnsi="Times New Roman" w:eastAsia="Times New Roman" w:cs="Times New Roman"/>
          <w:spacing w:val="-18"/>
          <w:sz w:val="43"/>
          <w:szCs w:val="43"/>
        </w:rPr>
        <w:t>2020</w:t>
      </w:r>
      <w:r>
        <w:rPr>
          <w:rFonts w:ascii="微软雅黑" w:hAnsi="微软雅黑" w:eastAsia="微软雅黑" w:cs="微软雅黑"/>
          <w:spacing w:val="-18"/>
          <w:sz w:val="43"/>
          <w:szCs w:val="43"/>
        </w:rPr>
        <w:t>—</w:t>
      </w:r>
      <w:r>
        <w:rPr>
          <w:rFonts w:ascii="Times New Roman" w:hAnsi="Times New Roman" w:eastAsia="Times New Roman" w:cs="Times New Roman"/>
          <w:spacing w:val="-18"/>
          <w:sz w:val="43"/>
          <w:szCs w:val="43"/>
        </w:rPr>
        <w:t xml:space="preserve">2025 </w:t>
      </w:r>
      <w:r>
        <w:rPr>
          <w:rFonts w:ascii="微软雅黑" w:hAnsi="微软雅黑" w:eastAsia="微软雅黑" w:cs="微软雅黑"/>
          <w:spacing w:val="-18"/>
          <w:sz w:val="43"/>
          <w:szCs w:val="43"/>
        </w:rPr>
        <w:t>）的通知</w:t>
      </w:r>
    </w:p>
    <w:p w14:paraId="176D9154">
      <w:pPr>
        <w:spacing w:line="392" w:lineRule="auto"/>
        <w:rPr>
          <w:rFonts w:ascii="Arial"/>
          <w:sz w:val="21"/>
        </w:rPr>
      </w:pPr>
    </w:p>
    <w:p w14:paraId="65C09152">
      <w:pPr>
        <w:pStyle w:val="2"/>
        <w:spacing w:before="101" w:line="221" w:lineRule="auto"/>
        <w:ind w:left="17"/>
      </w:pPr>
      <w:r>
        <w:rPr>
          <w:spacing w:val="1"/>
        </w:rPr>
        <w:t>县、</w:t>
      </w:r>
      <w:r>
        <w:rPr>
          <w:spacing w:val="-72"/>
        </w:rPr>
        <w:t xml:space="preserve"> </w:t>
      </w:r>
      <w:r>
        <w:rPr>
          <w:spacing w:val="1"/>
        </w:rPr>
        <w:t>区人民政府，市政府各部门，各有关单位：</w:t>
      </w:r>
    </w:p>
    <w:p w14:paraId="7ACA9F26">
      <w:pPr>
        <w:pStyle w:val="2"/>
        <w:spacing w:before="133" w:line="290" w:lineRule="auto"/>
        <w:ind w:left="3" w:firstLine="648"/>
        <w:jc w:val="both"/>
      </w:pPr>
      <w:r>
        <w:rPr>
          <w:spacing w:val="6"/>
        </w:rPr>
        <w:t>为进一步加大高新技术企业培育力度，促进高新技术企业健</w:t>
      </w:r>
      <w:r>
        <w:rPr>
          <w:spacing w:val="1"/>
        </w:rPr>
        <w:t xml:space="preserve"> </w:t>
      </w:r>
      <w:r>
        <w:rPr>
          <w:spacing w:val="7"/>
        </w:rPr>
        <w:t>康快速成长，推动我市经济高质量发展，现将</w:t>
      </w:r>
      <w:r>
        <w:rPr>
          <w:spacing w:val="6"/>
        </w:rPr>
        <w:t>《铜陵市高新技术</w:t>
      </w:r>
      <w:r>
        <w:t xml:space="preserve"> </w:t>
      </w:r>
      <w:r>
        <w:rPr>
          <w:spacing w:val="-5"/>
        </w:rPr>
        <w:t>企业倍增计划实施方案（</w:t>
      </w:r>
      <w:r>
        <w:rPr>
          <w:rFonts w:ascii="Times New Roman" w:hAnsi="Times New Roman" w:eastAsia="Times New Roman" w:cs="Times New Roman"/>
          <w:spacing w:val="-5"/>
        </w:rPr>
        <w:t>2020</w:t>
      </w:r>
      <w:r>
        <w:rPr>
          <w:spacing w:val="-5"/>
        </w:rPr>
        <w:t>—</w:t>
      </w:r>
      <w:r>
        <w:rPr>
          <w:rFonts w:ascii="Times New Roman" w:hAnsi="Times New Roman" w:eastAsia="Times New Roman" w:cs="Times New Roman"/>
          <w:spacing w:val="-5"/>
        </w:rPr>
        <w:t>2025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-5"/>
        </w:rPr>
        <w:t>）》印发给你们，请结合各自</w:t>
      </w:r>
      <w:r>
        <w:t xml:space="preserve"> </w:t>
      </w:r>
      <w:r>
        <w:rPr>
          <w:spacing w:val="5"/>
        </w:rPr>
        <w:t>实际，认真组织实施。</w:t>
      </w:r>
    </w:p>
    <w:p w14:paraId="7BD13A45">
      <w:pPr>
        <w:spacing w:line="247" w:lineRule="auto"/>
        <w:rPr>
          <w:rFonts w:ascii="Arial"/>
          <w:sz w:val="21"/>
        </w:rPr>
      </w:pPr>
    </w:p>
    <w:p w14:paraId="410A399C">
      <w:pPr>
        <w:spacing w:line="247" w:lineRule="auto"/>
        <w:rPr>
          <w:rFonts w:ascii="Arial"/>
          <w:sz w:val="21"/>
        </w:rPr>
      </w:pPr>
    </w:p>
    <w:p w14:paraId="066D3FD5">
      <w:pPr>
        <w:spacing w:line="247" w:lineRule="auto"/>
        <w:rPr>
          <w:rFonts w:ascii="Arial"/>
          <w:sz w:val="21"/>
        </w:rPr>
      </w:pPr>
    </w:p>
    <w:p w14:paraId="6D81543D">
      <w:pPr>
        <w:spacing w:line="247" w:lineRule="auto"/>
        <w:rPr>
          <w:rFonts w:ascii="Arial"/>
          <w:sz w:val="21"/>
        </w:rPr>
      </w:pPr>
    </w:p>
    <w:p w14:paraId="278710B6">
      <w:pPr>
        <w:spacing w:line="247" w:lineRule="auto"/>
        <w:rPr>
          <w:rFonts w:ascii="Arial"/>
          <w:sz w:val="21"/>
        </w:rPr>
      </w:pPr>
    </w:p>
    <w:p w14:paraId="34979886">
      <w:pPr>
        <w:spacing w:line="247" w:lineRule="auto"/>
        <w:rPr>
          <w:rFonts w:ascii="Arial"/>
          <w:sz w:val="21"/>
        </w:rPr>
      </w:pPr>
    </w:p>
    <w:p w14:paraId="6C6A47A2">
      <w:pPr>
        <w:pStyle w:val="2"/>
        <w:spacing w:before="101" w:line="222" w:lineRule="auto"/>
        <w:ind w:left="5278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3314065</wp:posOffset>
            </wp:positionH>
            <wp:positionV relativeFrom="paragraph">
              <wp:posOffset>-1099185</wp:posOffset>
            </wp:positionV>
            <wp:extent cx="1661160" cy="166116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166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pacing w:val="-1"/>
        </w:rPr>
        <w:t xml:space="preserve">2020 </w:t>
      </w:r>
      <w:r>
        <w:rPr>
          <w:spacing w:val="-1"/>
        </w:rPr>
        <w:t>年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4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1"/>
        </w:rPr>
        <w:t>月</w:t>
      </w:r>
      <w:r>
        <w:rPr>
          <w:spacing w:val="-72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26  </w:t>
      </w:r>
      <w:r>
        <w:rPr>
          <w:spacing w:val="-1"/>
        </w:rPr>
        <w:t>日</w:t>
      </w:r>
    </w:p>
    <w:p w14:paraId="36B50F42">
      <w:pPr>
        <w:pStyle w:val="2"/>
        <w:spacing w:before="107" w:line="220" w:lineRule="auto"/>
        <w:ind w:left="634"/>
      </w:pPr>
      <w:r>
        <w:rPr>
          <w:spacing w:val="5"/>
        </w:rPr>
        <w:t>（此件公开发布）</w:t>
      </w:r>
    </w:p>
    <w:p w14:paraId="36766B5A">
      <w:pPr>
        <w:spacing w:line="220" w:lineRule="auto"/>
        <w:sectPr>
          <w:footerReference r:id="rId5" w:type="default"/>
          <w:pgSz w:w="11906" w:h="16839"/>
          <w:pgMar w:top="1431" w:right="1499" w:bottom="1737" w:left="1529" w:header="0" w:footer="1458" w:gutter="0"/>
          <w:cols w:space="720" w:num="1"/>
        </w:sectPr>
      </w:pPr>
    </w:p>
    <w:p w14:paraId="122AE1D9">
      <w:pPr>
        <w:spacing w:line="266" w:lineRule="auto"/>
        <w:rPr>
          <w:rFonts w:ascii="Arial"/>
          <w:sz w:val="21"/>
        </w:rPr>
      </w:pPr>
    </w:p>
    <w:p w14:paraId="38737CDF">
      <w:pPr>
        <w:spacing w:line="267" w:lineRule="auto"/>
        <w:rPr>
          <w:rFonts w:ascii="Arial"/>
          <w:sz w:val="21"/>
        </w:rPr>
      </w:pPr>
    </w:p>
    <w:p w14:paraId="30D3861D">
      <w:pPr>
        <w:spacing w:line="267" w:lineRule="auto"/>
        <w:rPr>
          <w:rFonts w:ascii="Arial"/>
          <w:sz w:val="21"/>
        </w:rPr>
      </w:pPr>
    </w:p>
    <w:p w14:paraId="5DE06093">
      <w:pPr>
        <w:spacing w:line="267" w:lineRule="auto"/>
        <w:rPr>
          <w:rFonts w:ascii="Arial"/>
          <w:sz w:val="21"/>
        </w:rPr>
      </w:pPr>
    </w:p>
    <w:p w14:paraId="7CA4179B">
      <w:pPr>
        <w:spacing w:before="184" w:line="195" w:lineRule="auto"/>
        <w:ind w:left="2061" w:right="1697" w:hanging="458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5"/>
          <w:sz w:val="43"/>
          <w:szCs w:val="43"/>
        </w:rPr>
        <w:t>铜陵市高新技术企业倍增计划</w:t>
      </w:r>
      <w:r>
        <w:rPr>
          <w:rFonts w:ascii="微软雅黑" w:hAnsi="微软雅黑" w:eastAsia="微软雅黑" w:cs="微软雅黑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7"/>
          <w:sz w:val="43"/>
          <w:szCs w:val="43"/>
        </w:rPr>
        <w:t xml:space="preserve">实施方案（ </w:t>
      </w:r>
      <w:r>
        <w:rPr>
          <w:rFonts w:ascii="Times New Roman" w:hAnsi="Times New Roman" w:eastAsia="Times New Roman" w:cs="Times New Roman"/>
          <w:spacing w:val="-7"/>
          <w:sz w:val="43"/>
          <w:szCs w:val="43"/>
        </w:rPr>
        <w:t>2020</w:t>
      </w:r>
      <w:r>
        <w:rPr>
          <w:rFonts w:ascii="微软雅黑" w:hAnsi="微软雅黑" w:eastAsia="微软雅黑" w:cs="微软雅黑"/>
          <w:spacing w:val="-7"/>
          <w:sz w:val="43"/>
          <w:szCs w:val="43"/>
        </w:rPr>
        <w:t>—</w:t>
      </w:r>
      <w:r>
        <w:rPr>
          <w:rFonts w:ascii="Times New Roman" w:hAnsi="Times New Roman" w:eastAsia="Times New Roman" w:cs="Times New Roman"/>
          <w:spacing w:val="-7"/>
          <w:sz w:val="43"/>
          <w:szCs w:val="43"/>
        </w:rPr>
        <w:t xml:space="preserve">2025 </w:t>
      </w:r>
      <w:r>
        <w:rPr>
          <w:rFonts w:ascii="微软雅黑" w:hAnsi="微软雅黑" w:eastAsia="微软雅黑" w:cs="微软雅黑"/>
          <w:spacing w:val="-7"/>
          <w:sz w:val="43"/>
          <w:szCs w:val="43"/>
        </w:rPr>
        <w:t>）</w:t>
      </w:r>
    </w:p>
    <w:p w14:paraId="5FB8D823">
      <w:pPr>
        <w:spacing w:line="413" w:lineRule="auto"/>
        <w:rPr>
          <w:rFonts w:ascii="Arial"/>
          <w:sz w:val="21"/>
        </w:rPr>
      </w:pPr>
    </w:p>
    <w:p w14:paraId="7568FF09">
      <w:pPr>
        <w:pStyle w:val="2"/>
        <w:spacing w:before="101" w:line="306" w:lineRule="auto"/>
        <w:ind w:right="86" w:firstLine="648"/>
      </w:pPr>
      <w:r>
        <w:rPr>
          <w:spacing w:val="6"/>
        </w:rPr>
        <w:t>为进一步加大高新技术企业培育力度，促进高新技术企业健</w:t>
      </w:r>
      <w:r>
        <w:rPr>
          <w:spacing w:val="1"/>
        </w:rPr>
        <w:t xml:space="preserve"> </w:t>
      </w:r>
      <w:r>
        <w:rPr>
          <w:spacing w:val="6"/>
        </w:rPr>
        <w:t>康快速发展，推动我市经济高质量发展，结合我市实际，决定自</w:t>
      </w:r>
      <w:r>
        <w:rPr>
          <w:spacing w:val="18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 xml:space="preserve">2020 </w:t>
      </w:r>
      <w:r>
        <w:rPr>
          <w:spacing w:val="9"/>
        </w:rPr>
        <w:t>年起至</w:t>
      </w:r>
      <w:r>
        <w:rPr>
          <w:spacing w:val="-105"/>
        </w:rPr>
        <w:t xml:space="preserve"> </w:t>
      </w:r>
      <w:r>
        <w:rPr>
          <w:spacing w:val="9"/>
        </w:rPr>
        <w:t>“十四五”末即</w:t>
      </w:r>
      <w:r>
        <w:rPr>
          <w:rFonts w:ascii="Times New Roman" w:hAnsi="Times New Roman" w:eastAsia="Times New Roman" w:cs="Times New Roman"/>
          <w:spacing w:val="9"/>
        </w:rPr>
        <w:t xml:space="preserve">2025 </w:t>
      </w:r>
      <w:r>
        <w:rPr>
          <w:spacing w:val="9"/>
        </w:rPr>
        <w:t>年，实施高新技术企</w:t>
      </w:r>
      <w:r>
        <w:rPr>
          <w:spacing w:val="8"/>
        </w:rPr>
        <w:t>业倍增计</w:t>
      </w:r>
      <w:r>
        <w:t xml:space="preserve"> </w:t>
      </w:r>
      <w:r>
        <w:rPr>
          <w:spacing w:val="5"/>
        </w:rPr>
        <w:t>划，特制定本实施方案。</w:t>
      </w:r>
    </w:p>
    <w:p w14:paraId="32407F0C">
      <w:pPr>
        <w:spacing w:before="48" w:line="230" w:lineRule="auto"/>
        <w:ind w:left="6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一、总体目标</w:t>
      </w:r>
    </w:p>
    <w:p w14:paraId="35877C8B">
      <w:pPr>
        <w:pStyle w:val="2"/>
        <w:spacing w:before="140" w:line="305" w:lineRule="auto"/>
        <w:ind w:left="9" w:right="11" w:firstLine="642"/>
      </w:pPr>
      <w:r>
        <w:rPr>
          <w:spacing w:val="-5"/>
        </w:rPr>
        <w:t>坚持把创新作为引领发展的第一动力，以培育发展</w:t>
      </w:r>
      <w:r>
        <w:rPr>
          <w:spacing w:val="-6"/>
        </w:rPr>
        <w:t>高新技术企</w:t>
      </w:r>
      <w:r>
        <w:t xml:space="preserve"> </w:t>
      </w:r>
      <w:r>
        <w:rPr>
          <w:spacing w:val="-17"/>
        </w:rPr>
        <w:t>业（</w:t>
      </w:r>
      <w:r>
        <w:rPr>
          <w:spacing w:val="-72"/>
        </w:rPr>
        <w:t xml:space="preserve"> </w:t>
      </w:r>
      <w:r>
        <w:rPr>
          <w:spacing w:val="-17"/>
        </w:rPr>
        <w:t>以下简称“高企”）为核心，推进产业向高新技术化发展，实施</w:t>
      </w:r>
      <w:r>
        <w:t xml:space="preserve"> </w:t>
      </w:r>
      <w:r>
        <w:rPr>
          <w:spacing w:val="-15"/>
        </w:rPr>
        <w:t>产业链、创新链、资金链、人才链的深度融合。</w:t>
      </w:r>
      <w:r>
        <w:rPr>
          <w:rFonts w:ascii="Times New Roman" w:hAnsi="Times New Roman" w:eastAsia="Times New Roman" w:cs="Times New Roman"/>
          <w:spacing w:val="-15"/>
        </w:rPr>
        <w:t xml:space="preserve">2020 </w:t>
      </w:r>
      <w:r>
        <w:rPr>
          <w:spacing w:val="-15"/>
        </w:rPr>
        <w:t>年初全市高</w:t>
      </w:r>
      <w:r>
        <w:rPr>
          <w:spacing w:val="-16"/>
        </w:rPr>
        <w:t>企总</w:t>
      </w:r>
      <w:r>
        <w:t xml:space="preserve"> </w:t>
      </w:r>
      <w:r>
        <w:rPr>
          <w:spacing w:val="-5"/>
        </w:rPr>
        <w:t>数</w:t>
      </w:r>
      <w:r>
        <w:rPr>
          <w:rFonts w:ascii="Times New Roman" w:hAnsi="Times New Roman" w:eastAsia="Times New Roman" w:cs="Times New Roman"/>
          <w:spacing w:val="-5"/>
        </w:rPr>
        <w:t xml:space="preserve">215 </w:t>
      </w:r>
      <w:r>
        <w:rPr>
          <w:spacing w:val="-5"/>
        </w:rPr>
        <w:t>家，确保到</w:t>
      </w:r>
      <w:r>
        <w:rPr>
          <w:rFonts w:ascii="Times New Roman" w:hAnsi="Times New Roman" w:eastAsia="Times New Roman" w:cs="Times New Roman"/>
          <w:spacing w:val="-5"/>
        </w:rPr>
        <w:t xml:space="preserve">2025 </w:t>
      </w:r>
      <w:r>
        <w:rPr>
          <w:spacing w:val="-5"/>
        </w:rPr>
        <w:t>年全市高企总数</w:t>
      </w:r>
      <w:r>
        <w:rPr>
          <w:spacing w:val="-6"/>
        </w:rPr>
        <w:t>达</w:t>
      </w:r>
      <w:r>
        <w:rPr>
          <w:rFonts w:ascii="Times New Roman" w:hAnsi="Times New Roman" w:eastAsia="Times New Roman" w:cs="Times New Roman"/>
          <w:spacing w:val="-6"/>
        </w:rPr>
        <w:t xml:space="preserve">430 </w:t>
      </w:r>
      <w:r>
        <w:rPr>
          <w:spacing w:val="-6"/>
        </w:rPr>
        <w:t>家，力争突破</w:t>
      </w:r>
      <w:r>
        <w:rPr>
          <w:rFonts w:ascii="Times New Roman" w:hAnsi="Times New Roman" w:eastAsia="Times New Roman" w:cs="Times New Roman"/>
          <w:spacing w:val="-6"/>
        </w:rPr>
        <w:t xml:space="preserve">450 </w:t>
      </w:r>
      <w:r>
        <w:rPr>
          <w:spacing w:val="-6"/>
        </w:rPr>
        <w:t>家。</w:t>
      </w:r>
    </w:p>
    <w:p w14:paraId="4A5A4509">
      <w:pPr>
        <w:spacing w:before="54" w:line="228" w:lineRule="auto"/>
        <w:ind w:left="64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二、主要措施</w:t>
      </w:r>
    </w:p>
    <w:p w14:paraId="20E1838C">
      <w:pPr>
        <w:spacing w:before="143" w:line="229" w:lineRule="auto"/>
        <w:ind w:left="66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（一）加强高新技术企业培育</w:t>
      </w:r>
    </w:p>
    <w:p w14:paraId="6775E4BD">
      <w:pPr>
        <w:pStyle w:val="2"/>
        <w:spacing w:before="144" w:line="305" w:lineRule="auto"/>
        <w:ind w:left="12" w:right="86" w:firstLine="669"/>
      </w:pPr>
      <w:r>
        <w:rPr>
          <w:spacing w:val="-9"/>
        </w:rPr>
        <w:t>以</w:t>
      </w:r>
      <w:r>
        <w:rPr>
          <w:spacing w:val="-98"/>
        </w:rPr>
        <w:t xml:space="preserve"> </w:t>
      </w:r>
      <w:r>
        <w:rPr>
          <w:spacing w:val="-9"/>
        </w:rPr>
        <w:t>“科升高”“规进高”“招引高”和发展服务机构为主要抓</w:t>
      </w:r>
      <w:r>
        <w:t xml:space="preserve"> </w:t>
      </w:r>
      <w:r>
        <w:rPr>
          <w:spacing w:val="4"/>
        </w:rPr>
        <w:t>手，设立高企培育库，组建申报梯队，每年至少培育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150 </w:t>
      </w:r>
      <w:r>
        <w:rPr>
          <w:spacing w:val="4"/>
        </w:rPr>
        <w:t>家企业</w:t>
      </w:r>
      <w:r>
        <w:t xml:space="preserve"> </w:t>
      </w:r>
      <w:r>
        <w:rPr>
          <w:spacing w:val="-1"/>
        </w:rPr>
        <w:t>入库，到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2025 </w:t>
      </w:r>
      <w:r>
        <w:rPr>
          <w:spacing w:val="-1"/>
        </w:rPr>
        <w:t>年累计入库不低于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900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家，切实做到储备一批、培</w:t>
      </w:r>
      <w:r>
        <w:t xml:space="preserve"> </w:t>
      </w:r>
      <w:r>
        <w:rPr>
          <w:spacing w:val="5"/>
        </w:rPr>
        <w:t>育一批、推荐一批，实现梯次发展，为高企培育夯实工作基础。</w:t>
      </w:r>
    </w:p>
    <w:p w14:paraId="60065D97">
      <w:pPr>
        <w:pStyle w:val="2"/>
        <w:spacing w:before="54" w:line="309" w:lineRule="auto"/>
        <w:ind w:left="9" w:firstLine="653"/>
        <w:rPr>
          <w:rFonts w:ascii="楷体" w:hAnsi="楷体" w:eastAsia="楷体" w:cs="楷体"/>
        </w:rPr>
      </w:pPr>
      <w:r>
        <w:rPr>
          <w:rFonts w:ascii="Times New Roman" w:hAnsi="Times New Roman" w:eastAsia="Times New Roman" w:cs="Times New Roman"/>
          <w:spacing w:val="-3"/>
        </w:rPr>
        <w:t>1</w:t>
      </w:r>
      <w:r>
        <w:rPr>
          <w:spacing w:val="-3"/>
        </w:rPr>
        <w:t>．全力推进</w:t>
      </w:r>
      <w:r>
        <w:rPr>
          <w:spacing w:val="-86"/>
        </w:rPr>
        <w:t xml:space="preserve"> </w:t>
      </w:r>
      <w:r>
        <w:rPr>
          <w:spacing w:val="-3"/>
        </w:rPr>
        <w:t>“科升高”。按照主要产品（服务）属于国家重</w:t>
      </w:r>
      <w:r>
        <w:t xml:space="preserve"> </w:t>
      </w:r>
      <w:r>
        <w:rPr>
          <w:spacing w:val="6"/>
        </w:rPr>
        <w:t>点支持的高新技术领域、拥有自主知识产权、研发费用占销售收</w:t>
      </w:r>
      <w:r>
        <w:rPr>
          <w:spacing w:val="11"/>
        </w:rPr>
        <w:t xml:space="preserve"> </w:t>
      </w:r>
      <w:r>
        <w:rPr>
          <w:spacing w:val="-2"/>
        </w:rPr>
        <w:t>入达到一定比例等条件，培育辅导科技型中小企业积极申报高企。</w:t>
      </w:r>
      <w:r>
        <w:rPr>
          <w:spacing w:val="13"/>
        </w:rPr>
        <w:t xml:space="preserve"> </w:t>
      </w:r>
      <w:r>
        <w:rPr>
          <w:spacing w:val="-1"/>
        </w:rPr>
        <w:t>每年推荐不少于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90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家科技型中小企业进入高企培育库，推荐不少</w:t>
      </w:r>
      <w:r>
        <w:t xml:space="preserve"> </w:t>
      </w:r>
      <w:r>
        <w:rPr>
          <w:spacing w:val="-1"/>
        </w:rPr>
        <w:t>于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50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1"/>
        </w:rPr>
        <w:t>家科技型中小企业申报高企。（</w:t>
      </w:r>
      <w:r>
        <w:rPr>
          <w:rFonts w:ascii="楷体" w:hAnsi="楷体" w:eastAsia="楷体" w:cs="楷体"/>
          <w:spacing w:val="-1"/>
        </w:rPr>
        <w:t>责任单位：市科技局、市经</w:t>
      </w:r>
    </w:p>
    <w:p w14:paraId="6B98D01E">
      <w:pPr>
        <w:spacing w:line="309" w:lineRule="auto"/>
        <w:rPr>
          <w:rFonts w:ascii="楷体" w:hAnsi="楷体" w:eastAsia="楷体" w:cs="楷体"/>
        </w:rPr>
        <w:sectPr>
          <w:footerReference r:id="rId6" w:type="default"/>
          <w:pgSz w:w="11906" w:h="16839"/>
          <w:pgMar w:top="1431" w:right="1415" w:bottom="1736" w:left="1533" w:header="0" w:footer="1458" w:gutter="0"/>
          <w:cols w:space="720" w:num="1"/>
        </w:sectPr>
      </w:pPr>
    </w:p>
    <w:p w14:paraId="631A6889">
      <w:pPr>
        <w:spacing w:line="354" w:lineRule="auto"/>
        <w:rPr>
          <w:rFonts w:ascii="Arial"/>
          <w:sz w:val="21"/>
        </w:rPr>
      </w:pPr>
    </w:p>
    <w:p w14:paraId="5CC29A00">
      <w:pPr>
        <w:spacing w:line="355" w:lineRule="auto"/>
        <w:rPr>
          <w:rFonts w:ascii="Arial"/>
          <w:sz w:val="21"/>
        </w:rPr>
      </w:pPr>
    </w:p>
    <w:p w14:paraId="1E81D812">
      <w:pPr>
        <w:pStyle w:val="2"/>
        <w:spacing w:before="100" w:line="295" w:lineRule="auto"/>
        <w:ind w:left="47" w:right="92" w:hanging="24"/>
      </w:pPr>
      <w:r>
        <w:rPr>
          <w:rFonts w:ascii="楷体" w:hAnsi="楷体" w:eastAsia="楷体" w:cs="楷体"/>
          <w:spacing w:val="5"/>
        </w:rPr>
        <w:t>济和信息化局、市市场监管局、枞阳县政府、铜官区政府、义安</w:t>
      </w:r>
      <w:r>
        <w:rPr>
          <w:rFonts w:ascii="楷体" w:hAnsi="楷体" w:eastAsia="楷体" w:cs="楷体"/>
          <w:spacing w:val="18"/>
        </w:rPr>
        <w:t xml:space="preserve"> </w:t>
      </w:r>
      <w:r>
        <w:rPr>
          <w:rFonts w:ascii="楷体" w:hAnsi="楷体" w:eastAsia="楷体" w:cs="楷体"/>
          <w:spacing w:val="2"/>
        </w:rPr>
        <w:t>区政府、郊区政府、铜陵经开区管委会</w:t>
      </w:r>
      <w:r>
        <w:rPr>
          <w:spacing w:val="2"/>
        </w:rPr>
        <w:t>）</w:t>
      </w:r>
    </w:p>
    <w:p w14:paraId="4D2F6E36">
      <w:pPr>
        <w:pStyle w:val="2"/>
        <w:spacing w:before="61" w:line="305" w:lineRule="auto"/>
        <w:ind w:firstLine="626"/>
      </w:pPr>
      <w:r>
        <w:rPr>
          <w:rFonts w:ascii="Times New Roman" w:hAnsi="Times New Roman" w:eastAsia="Times New Roman" w:cs="Times New Roman"/>
          <w:spacing w:val="-7"/>
        </w:rPr>
        <w:t>2</w:t>
      </w:r>
      <w:r>
        <w:rPr>
          <w:spacing w:val="-7"/>
        </w:rPr>
        <w:t>．重点推动“规进高”。在规上工业企业中选择创新基础好、</w:t>
      </w:r>
      <w:r>
        <w:t xml:space="preserve"> </w:t>
      </w:r>
      <w:r>
        <w:rPr>
          <w:spacing w:val="5"/>
        </w:rPr>
        <w:t>发展潜力大的企业，按照</w:t>
      </w:r>
      <w:r>
        <w:rPr>
          <w:spacing w:val="-107"/>
        </w:rPr>
        <w:t xml:space="preserve"> </w:t>
      </w:r>
      <w:r>
        <w:rPr>
          <w:spacing w:val="5"/>
        </w:rPr>
        <w:t>“一企一策”</w:t>
      </w:r>
      <w:r>
        <w:rPr>
          <w:spacing w:val="-118"/>
        </w:rPr>
        <w:t xml:space="preserve"> </w:t>
      </w:r>
      <w:r>
        <w:rPr>
          <w:spacing w:val="5"/>
        </w:rPr>
        <w:t>的原则</w:t>
      </w:r>
      <w:r>
        <w:rPr>
          <w:spacing w:val="4"/>
        </w:rPr>
        <w:t>给予针对性辅导，</w:t>
      </w:r>
      <w:r>
        <w:t xml:space="preserve"> </w:t>
      </w:r>
      <w:r>
        <w:rPr>
          <w:spacing w:val="6"/>
        </w:rPr>
        <w:t>引导企业做好研发投入归集、知识产权申报、科技成果转化等高</w:t>
      </w:r>
      <w:r>
        <w:rPr>
          <w:spacing w:val="14"/>
        </w:rPr>
        <w:t xml:space="preserve"> </w:t>
      </w:r>
      <w:r>
        <w:rPr>
          <w:spacing w:val="6"/>
        </w:rPr>
        <w:t>企申报的基础性工作。按照一年打基础、二年备申报、三年见成</w:t>
      </w:r>
      <w:r>
        <w:rPr>
          <w:spacing w:val="14"/>
        </w:rPr>
        <w:t xml:space="preserve"> </w:t>
      </w:r>
      <w:r>
        <w:rPr>
          <w:spacing w:val="3"/>
        </w:rPr>
        <w:t>效的进度，每年推荐不少于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40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3"/>
        </w:rPr>
        <w:t>家规上工业企业进入高企培育库，</w:t>
      </w:r>
      <w:r>
        <w:t xml:space="preserve"> 推荐不少于</w:t>
      </w:r>
      <w:r>
        <w:rPr>
          <w:spacing w:val="-73"/>
        </w:rPr>
        <w:t xml:space="preserve"> </w:t>
      </w:r>
      <w:r>
        <w:rPr>
          <w:rFonts w:ascii="Times New Roman" w:hAnsi="Times New Roman" w:eastAsia="Times New Roman" w:cs="Times New Roman"/>
        </w:rPr>
        <w:t>20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t>家规上工业企业申报高企。（</w:t>
      </w:r>
      <w:r>
        <w:rPr>
          <w:rFonts w:ascii="楷体" w:hAnsi="楷体" w:eastAsia="楷体" w:cs="楷体"/>
        </w:rPr>
        <w:t xml:space="preserve">责任单位：市经济和 </w:t>
      </w:r>
      <w:r>
        <w:rPr>
          <w:rFonts w:ascii="楷体" w:hAnsi="楷体" w:eastAsia="楷体" w:cs="楷体"/>
          <w:spacing w:val="7"/>
        </w:rPr>
        <w:t>信息化局、市发展改革委、市统计局、市科技局、枞阳县政府、</w:t>
      </w:r>
      <w:r>
        <w:rPr>
          <w:rFonts w:ascii="楷体" w:hAnsi="楷体" w:eastAsia="楷体" w:cs="楷体"/>
          <w:spacing w:val="12"/>
        </w:rPr>
        <w:t xml:space="preserve"> </w:t>
      </w:r>
      <w:r>
        <w:rPr>
          <w:rFonts w:ascii="楷体" w:hAnsi="楷体" w:eastAsia="楷体" w:cs="楷体"/>
          <w:spacing w:val="5"/>
        </w:rPr>
        <w:t>铜官区政府、义安区政府、郊区政府、铜陵经开区管委会</w:t>
      </w:r>
      <w:r>
        <w:rPr>
          <w:spacing w:val="5"/>
        </w:rPr>
        <w:t>）</w:t>
      </w:r>
    </w:p>
    <w:p w14:paraId="2BF37389">
      <w:pPr>
        <w:pStyle w:val="2"/>
        <w:spacing w:before="147" w:line="301" w:lineRule="auto"/>
        <w:ind w:left="1" w:right="80" w:firstLine="632"/>
      </w:pPr>
      <w:r>
        <w:rPr>
          <w:rFonts w:ascii="Times New Roman" w:hAnsi="Times New Roman" w:eastAsia="Times New Roman" w:cs="Times New Roman"/>
          <w:spacing w:val="-1"/>
        </w:rPr>
        <w:t>3</w:t>
      </w:r>
      <w:r>
        <w:rPr>
          <w:spacing w:val="-1"/>
        </w:rPr>
        <w:t>．大力开展</w:t>
      </w:r>
      <w:r>
        <w:rPr>
          <w:spacing w:val="-102"/>
        </w:rPr>
        <w:t xml:space="preserve"> </w:t>
      </w:r>
      <w:r>
        <w:rPr>
          <w:spacing w:val="-1"/>
        </w:rPr>
        <w:t>“招引高”。加大对市外高企的招商引资力度，</w:t>
      </w:r>
      <w:r>
        <w:t xml:space="preserve"> </w:t>
      </w:r>
      <w:r>
        <w:rPr>
          <w:spacing w:val="6"/>
        </w:rPr>
        <w:t>对市外高企（需是规上工业企业）整体迁入的，在享受现有优惠</w:t>
      </w:r>
      <w:r>
        <w:rPr>
          <w:spacing w:val="13"/>
        </w:rPr>
        <w:t xml:space="preserve"> </w:t>
      </w:r>
      <w:r>
        <w:rPr>
          <w:spacing w:val="2"/>
        </w:rPr>
        <w:t>政策基础上，再给予</w:t>
      </w:r>
      <w:r>
        <w:rPr>
          <w:rFonts w:ascii="Times New Roman" w:hAnsi="Times New Roman" w:eastAsia="Times New Roman" w:cs="Times New Roman"/>
          <w:spacing w:val="2"/>
        </w:rPr>
        <w:t>30</w:t>
      </w:r>
      <w:r>
        <w:rPr>
          <w:rFonts w:ascii="Times New Roman" w:hAnsi="Times New Roman" w:eastAsia="Times New Roman" w:cs="Times New Roman"/>
          <w:spacing w:val="43"/>
          <w:w w:val="101"/>
        </w:rPr>
        <w:t xml:space="preserve"> </w:t>
      </w:r>
      <w:r>
        <w:rPr>
          <w:spacing w:val="2"/>
        </w:rPr>
        <w:t>万元奖励。每年至少推荐招商引资的新企</w:t>
      </w:r>
      <w:r>
        <w:t xml:space="preserve"> </w:t>
      </w:r>
      <w:r>
        <w:rPr>
          <w:spacing w:val="-1"/>
        </w:rPr>
        <w:t>业</w:t>
      </w:r>
      <w:r>
        <w:rPr>
          <w:spacing w:val="-7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1"/>
        </w:rPr>
        <w:t>家进入高企培育库，招商引资市外高企不低</w:t>
      </w:r>
      <w:r>
        <w:rPr>
          <w:spacing w:val="-2"/>
        </w:rPr>
        <w:t>于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5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2"/>
        </w:rPr>
        <w:t>家。（</w:t>
      </w:r>
      <w:r>
        <w:rPr>
          <w:rFonts w:ascii="楷体" w:hAnsi="楷体" w:eastAsia="楷体" w:cs="楷体"/>
          <w:spacing w:val="-2"/>
        </w:rPr>
        <w:t>责任</w:t>
      </w:r>
      <w:r>
        <w:rPr>
          <w:rFonts w:ascii="楷体" w:hAnsi="楷体" w:eastAsia="楷体" w:cs="楷体"/>
        </w:rPr>
        <w:t xml:space="preserve"> </w:t>
      </w:r>
      <w:r>
        <w:rPr>
          <w:rFonts w:ascii="楷体" w:hAnsi="楷体" w:eastAsia="楷体" w:cs="楷体"/>
          <w:spacing w:val="-4"/>
        </w:rPr>
        <w:t>单位：市招商服务中心、市税务局、市财政局、市科技局、枞阳县</w:t>
      </w:r>
      <w:r>
        <w:rPr>
          <w:rFonts w:ascii="楷体" w:hAnsi="楷体" w:eastAsia="楷体" w:cs="楷体"/>
        </w:rPr>
        <w:t xml:space="preserve"> </w:t>
      </w:r>
      <w:r>
        <w:rPr>
          <w:rFonts w:ascii="楷体" w:hAnsi="楷体" w:eastAsia="楷体" w:cs="楷体"/>
          <w:spacing w:val="-6"/>
        </w:rPr>
        <w:t>政府、铜官区政府、义安区政府、郊区政府、铜陵经开区管委会</w:t>
      </w:r>
      <w:r>
        <w:rPr>
          <w:spacing w:val="-6"/>
        </w:rPr>
        <w:t>）</w:t>
      </w:r>
    </w:p>
    <w:p w14:paraId="5B6AC6A9">
      <w:pPr>
        <w:pStyle w:val="2"/>
        <w:spacing w:before="147" w:line="301" w:lineRule="auto"/>
        <w:ind w:left="5" w:right="92" w:firstLine="620"/>
      </w:pPr>
      <w:r>
        <w:rPr>
          <w:rFonts w:ascii="Times New Roman" w:hAnsi="Times New Roman" w:eastAsia="Times New Roman" w:cs="Times New Roman"/>
        </w:rPr>
        <w:t>4</w:t>
      </w:r>
      <w:r>
        <w:t>．着力发展服务机构。引导支持各类科技服务机构，积极开</w:t>
      </w:r>
      <w:r>
        <w:rPr>
          <w:spacing w:val="17"/>
        </w:rPr>
        <w:t xml:space="preserve"> </w:t>
      </w:r>
      <w:r>
        <w:rPr>
          <w:spacing w:val="6"/>
        </w:rPr>
        <w:t>展高企培育服务工作，指导高企培育库入库企业对照高企认定标</w:t>
      </w:r>
      <w:r>
        <w:rPr>
          <w:spacing w:val="9"/>
        </w:rPr>
        <w:t xml:space="preserve"> </w:t>
      </w:r>
      <w:r>
        <w:rPr>
          <w:spacing w:val="6"/>
        </w:rPr>
        <w:t>准补齐短板，逐步进入高企行列。按年度对高企培育服务机构开</w:t>
      </w:r>
      <w:r>
        <w:rPr>
          <w:spacing w:val="9"/>
        </w:rPr>
        <w:t xml:space="preserve"> </w:t>
      </w:r>
      <w:r>
        <w:rPr>
          <w:spacing w:val="3"/>
        </w:rPr>
        <w:t>展绩效考核，对培育高企成效较好的服务机构，择优最高给予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20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-5"/>
        </w:rPr>
        <w:t>万元奖励。（</w:t>
      </w:r>
      <w:r>
        <w:rPr>
          <w:rFonts w:ascii="楷体" w:hAnsi="楷体" w:eastAsia="楷体" w:cs="楷体"/>
          <w:spacing w:val="-5"/>
        </w:rPr>
        <w:t>责任单位：市科技局、市财政局、枞阳县政府、铜官</w:t>
      </w:r>
      <w:r>
        <w:rPr>
          <w:rFonts w:ascii="楷体" w:hAnsi="楷体" w:eastAsia="楷体" w:cs="楷体"/>
          <w:spacing w:val="10"/>
        </w:rPr>
        <w:t xml:space="preserve"> </w:t>
      </w:r>
      <w:r>
        <w:rPr>
          <w:rFonts w:ascii="楷体" w:hAnsi="楷体" w:eastAsia="楷体" w:cs="楷体"/>
          <w:spacing w:val="5"/>
        </w:rPr>
        <w:t>区政府、义安区政府、郊区政府、铜陵经开区管委会</w:t>
      </w:r>
      <w:r>
        <w:rPr>
          <w:spacing w:val="5"/>
        </w:rPr>
        <w:t>）</w:t>
      </w:r>
    </w:p>
    <w:p w14:paraId="74B48223">
      <w:pPr>
        <w:spacing w:before="146" w:line="231" w:lineRule="auto"/>
        <w:ind w:left="658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（二）加大高新技术企业奖补</w:t>
      </w:r>
    </w:p>
    <w:p w14:paraId="5C36D0B3">
      <w:pPr>
        <w:pStyle w:val="2"/>
        <w:spacing w:before="143" w:line="220" w:lineRule="auto"/>
        <w:ind w:left="626"/>
      </w:pPr>
      <w:r>
        <w:rPr>
          <w:spacing w:val="6"/>
        </w:rPr>
        <w:t>针对高企认定工作的周期性开展分类奖补，在保存量的基础</w:t>
      </w:r>
    </w:p>
    <w:p w14:paraId="0D30176F">
      <w:pPr>
        <w:spacing w:line="220" w:lineRule="auto"/>
        <w:sectPr>
          <w:footerReference r:id="rId7" w:type="default"/>
          <w:pgSz w:w="11906" w:h="16839"/>
          <w:pgMar w:top="1431" w:right="1409" w:bottom="1736" w:left="1539" w:header="0" w:footer="1458" w:gutter="0"/>
          <w:cols w:space="720" w:num="1"/>
        </w:sectPr>
      </w:pPr>
    </w:p>
    <w:p w14:paraId="4F87B97D">
      <w:pPr>
        <w:spacing w:line="355" w:lineRule="auto"/>
        <w:rPr>
          <w:rFonts w:ascii="Arial"/>
          <w:sz w:val="21"/>
        </w:rPr>
      </w:pPr>
    </w:p>
    <w:p w14:paraId="72F00B9E">
      <w:pPr>
        <w:spacing w:line="356" w:lineRule="auto"/>
        <w:rPr>
          <w:rFonts w:ascii="Arial"/>
          <w:sz w:val="21"/>
        </w:rPr>
      </w:pPr>
    </w:p>
    <w:p w14:paraId="3EC825B7">
      <w:pPr>
        <w:pStyle w:val="2"/>
        <w:spacing w:before="101" w:line="305" w:lineRule="auto"/>
        <w:ind w:right="92" w:firstLine="11"/>
      </w:pPr>
      <w:r>
        <w:rPr>
          <w:spacing w:val="6"/>
        </w:rPr>
        <w:t>上有效提高增量。加强知识产权保护，进一步提升高企知识产权</w:t>
      </w:r>
      <w:r>
        <w:rPr>
          <w:spacing w:val="3"/>
        </w:rPr>
        <w:t xml:space="preserve"> </w:t>
      </w:r>
      <w:r>
        <w:rPr>
          <w:spacing w:val="6"/>
        </w:rPr>
        <w:t>保护意识。支持高企购买科技保险，降低企业创新发展的风险。</w:t>
      </w:r>
      <w:r>
        <w:rPr>
          <w:spacing w:val="14"/>
        </w:rPr>
        <w:t xml:space="preserve"> </w:t>
      </w:r>
      <w:r>
        <w:rPr>
          <w:spacing w:val="5"/>
        </w:rPr>
        <w:t>开展研发费用加计扣除补助，鼓励高企进一步加大研发投入。</w:t>
      </w:r>
    </w:p>
    <w:p w14:paraId="5C4295BC">
      <w:pPr>
        <w:pStyle w:val="2"/>
        <w:spacing w:before="54" w:line="301" w:lineRule="auto"/>
        <w:ind w:right="13" w:firstLine="657"/>
      </w:pPr>
      <w:r>
        <w:rPr>
          <w:rFonts w:ascii="Times New Roman" w:hAnsi="Times New Roman" w:eastAsia="Times New Roman" w:cs="Times New Roman"/>
          <w:spacing w:val="-1"/>
        </w:rPr>
        <w:t>1</w:t>
      </w:r>
      <w:r>
        <w:rPr>
          <w:spacing w:val="-1"/>
        </w:rPr>
        <w:t>．开展高企认定分类奖补。制定出台铜陵市高企认定分类奖</w:t>
      </w:r>
      <w:r>
        <w:rPr>
          <w:spacing w:val="12"/>
        </w:rPr>
        <w:t xml:space="preserve"> </w:t>
      </w:r>
      <w:r>
        <w:rPr>
          <w:spacing w:val="-1"/>
        </w:rPr>
        <w:t>补政策，对首次认定和连续认定的高企给予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1"/>
        </w:rPr>
        <w:t>万元资金奖励，间</w:t>
      </w:r>
      <w:r>
        <w:t xml:space="preserve"> </w:t>
      </w:r>
      <w:r>
        <w:rPr>
          <w:spacing w:val="-2"/>
        </w:rPr>
        <w:t>断认定的高企给予</w:t>
      </w:r>
      <w:r>
        <w:rPr>
          <w:spacing w:val="-2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2"/>
        </w:rPr>
        <w:t>万元资金奖励。县区政府、铜陵经开区管委</w:t>
      </w:r>
      <w:r>
        <w:t xml:space="preserve"> </w:t>
      </w:r>
      <w:r>
        <w:rPr>
          <w:spacing w:val="-12"/>
        </w:rPr>
        <w:t>会可对辖区内认定的高企，给予奖励补助。（</w:t>
      </w:r>
      <w:r>
        <w:rPr>
          <w:rFonts w:ascii="楷体" w:hAnsi="楷体" w:eastAsia="楷体" w:cs="楷体"/>
          <w:spacing w:val="-12"/>
        </w:rPr>
        <w:t>责任单位：市科技局、</w:t>
      </w:r>
      <w:r>
        <w:rPr>
          <w:rFonts w:ascii="楷体" w:hAnsi="楷体" w:eastAsia="楷体" w:cs="楷体"/>
          <w:spacing w:val="1"/>
        </w:rPr>
        <w:t xml:space="preserve"> </w:t>
      </w:r>
      <w:r>
        <w:rPr>
          <w:rFonts w:ascii="楷体" w:hAnsi="楷体" w:eastAsia="楷体" w:cs="楷体"/>
          <w:spacing w:val="7"/>
        </w:rPr>
        <w:t>市财政局、枞阳县政府、铜官区政府、义安区政府、郊区政府、</w:t>
      </w:r>
      <w:r>
        <w:rPr>
          <w:rFonts w:ascii="楷体" w:hAnsi="楷体" w:eastAsia="楷体" w:cs="楷体"/>
          <w:spacing w:val="12"/>
        </w:rPr>
        <w:t xml:space="preserve"> </w:t>
      </w:r>
      <w:r>
        <w:rPr>
          <w:rFonts w:ascii="楷体" w:hAnsi="楷体" w:eastAsia="楷体" w:cs="楷体"/>
          <w:spacing w:val="4"/>
        </w:rPr>
        <w:t>铜陵经开区管委会</w:t>
      </w:r>
      <w:r>
        <w:rPr>
          <w:spacing w:val="4"/>
        </w:rPr>
        <w:t>）</w:t>
      </w:r>
    </w:p>
    <w:p w14:paraId="405DDF04">
      <w:pPr>
        <w:pStyle w:val="2"/>
        <w:spacing w:before="147" w:line="287" w:lineRule="auto"/>
        <w:ind w:left="3" w:right="97" w:firstLine="623"/>
      </w:pPr>
      <w:r>
        <w:rPr>
          <w:rFonts w:ascii="Times New Roman" w:hAnsi="Times New Roman" w:eastAsia="Times New Roman" w:cs="Times New Roman"/>
        </w:rPr>
        <w:t>2</w:t>
      </w:r>
      <w:r>
        <w:t>．加强高企知识产权保护。鼓励高企对核心技术加强知识产</w:t>
      </w:r>
      <w:r>
        <w:rPr>
          <w:spacing w:val="16"/>
        </w:rPr>
        <w:t xml:space="preserve"> </w:t>
      </w:r>
      <w:r>
        <w:rPr>
          <w:spacing w:val="6"/>
        </w:rPr>
        <w:t xml:space="preserve">权保护，对高企有效期内授权的发明专利，在原有政策基础上， </w:t>
      </w:r>
      <w:r>
        <w:rPr>
          <w:spacing w:val="1"/>
        </w:rPr>
        <w:t>每件再给予</w:t>
      </w:r>
      <w:r>
        <w:rPr>
          <w:rFonts w:ascii="Times New Roman" w:hAnsi="Times New Roman" w:eastAsia="Times New Roman" w:cs="Times New Roman"/>
          <w:spacing w:val="1"/>
        </w:rPr>
        <w:t>5000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1"/>
        </w:rPr>
        <w:t>元补助。（</w:t>
      </w:r>
      <w:r>
        <w:rPr>
          <w:rFonts w:ascii="楷体" w:hAnsi="楷体" w:eastAsia="楷体" w:cs="楷体"/>
          <w:spacing w:val="1"/>
        </w:rPr>
        <w:t>责任单位：市科技局、市财政局</w:t>
      </w:r>
      <w:r>
        <w:rPr>
          <w:spacing w:val="1"/>
        </w:rPr>
        <w:t>）</w:t>
      </w:r>
    </w:p>
    <w:p w14:paraId="3773B6C7">
      <w:pPr>
        <w:pStyle w:val="2"/>
        <w:spacing w:before="145" w:line="304" w:lineRule="auto"/>
        <w:ind w:left="1" w:firstLine="632"/>
      </w:pP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spacing w:val="4"/>
        </w:rPr>
        <w:t>．支持高企购买科技保险。对高企购买产品研发责任保险、</w:t>
      </w:r>
      <w:r>
        <w:t xml:space="preserve"> </w:t>
      </w:r>
      <w:r>
        <w:rPr>
          <w:spacing w:val="6"/>
        </w:rPr>
        <w:t>关键研发设备保险、企业财产保险、产品责任保险、产品质量保</w:t>
      </w:r>
      <w:r>
        <w:rPr>
          <w:spacing w:val="13"/>
        </w:rPr>
        <w:t xml:space="preserve"> </w:t>
      </w:r>
      <w:r>
        <w:rPr>
          <w:spacing w:val="6"/>
        </w:rPr>
        <w:t>证保险、董事会监事会高级管理人员职业责任保险、雇主责任保</w:t>
      </w:r>
      <w:r>
        <w:rPr>
          <w:spacing w:val="13"/>
        </w:rPr>
        <w:t xml:space="preserve"> </w:t>
      </w:r>
      <w:r>
        <w:rPr>
          <w:spacing w:val="-1"/>
        </w:rPr>
        <w:t>险、高管人员和关键研发人员团体健康保险、环境</w:t>
      </w:r>
      <w:r>
        <w:rPr>
          <w:spacing w:val="-2"/>
        </w:rPr>
        <w:t>污染责任保险、</w:t>
      </w:r>
      <w:r>
        <w:t xml:space="preserve"> </w:t>
      </w:r>
      <w:r>
        <w:rPr>
          <w:spacing w:val="3"/>
        </w:rPr>
        <w:t>专利保险、小额贷款保证保险、项目投资损失保险</w:t>
      </w:r>
      <w:r>
        <w:rPr>
          <w:spacing w:val="2"/>
        </w:rPr>
        <w:t>共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 xml:space="preserve">12 </w:t>
      </w:r>
      <w:r>
        <w:rPr>
          <w:spacing w:val="2"/>
        </w:rPr>
        <w:t>种保险，</w:t>
      </w:r>
      <w:r>
        <w:t xml:space="preserve"> </w:t>
      </w:r>
      <w:r>
        <w:rPr>
          <w:spacing w:val="5"/>
        </w:rPr>
        <w:t>按实际支出保费的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30%</w:t>
      </w:r>
      <w:r>
        <w:rPr>
          <w:spacing w:val="5"/>
        </w:rPr>
        <w:t>给予补助。（</w:t>
      </w:r>
      <w:r>
        <w:rPr>
          <w:rFonts w:ascii="楷体" w:hAnsi="楷体" w:eastAsia="楷体" w:cs="楷体"/>
          <w:spacing w:val="5"/>
        </w:rPr>
        <w:t>责任单位：市科</w:t>
      </w:r>
      <w:r>
        <w:rPr>
          <w:rFonts w:ascii="楷体" w:hAnsi="楷体" w:eastAsia="楷体" w:cs="楷体"/>
          <w:spacing w:val="4"/>
        </w:rPr>
        <w:t>技局、市财</w:t>
      </w:r>
      <w:r>
        <w:rPr>
          <w:rFonts w:ascii="楷体" w:hAnsi="楷体" w:eastAsia="楷体" w:cs="楷体"/>
        </w:rPr>
        <w:t xml:space="preserve"> </w:t>
      </w:r>
      <w:r>
        <w:rPr>
          <w:rFonts w:ascii="楷体" w:hAnsi="楷体" w:eastAsia="楷体" w:cs="楷体"/>
          <w:spacing w:val="4"/>
        </w:rPr>
        <w:t>政局、铜陵银保监分局</w:t>
      </w:r>
      <w:r>
        <w:rPr>
          <w:spacing w:val="4"/>
        </w:rPr>
        <w:t>）</w:t>
      </w:r>
    </w:p>
    <w:p w14:paraId="21BDC363">
      <w:pPr>
        <w:pStyle w:val="2"/>
        <w:spacing w:before="137" w:line="294" w:lineRule="auto"/>
        <w:ind w:left="6" w:right="13" w:firstLine="618"/>
      </w:pPr>
      <w:r>
        <w:rPr>
          <w:rFonts w:ascii="Times New Roman" w:hAnsi="Times New Roman" w:eastAsia="Times New Roman" w:cs="Times New Roman"/>
          <w:spacing w:val="-8"/>
        </w:rPr>
        <w:t>4</w:t>
      </w:r>
      <w:r>
        <w:rPr>
          <w:spacing w:val="-8"/>
        </w:rPr>
        <w:t>．引导高企加大研发投入。积极落实研发费用加计扣除政策，</w:t>
      </w:r>
      <w:r>
        <w:rPr>
          <w:spacing w:val="15"/>
        </w:rPr>
        <w:t xml:space="preserve"> </w:t>
      </w:r>
      <w:r>
        <w:rPr>
          <w:spacing w:val="6"/>
        </w:rPr>
        <w:t>对符合条件的高企，依据其上年度税前加计扣除研发费用增加额</w:t>
      </w:r>
      <w:r>
        <w:rPr>
          <w:spacing w:val="8"/>
        </w:rPr>
        <w:t xml:space="preserve"> </w:t>
      </w:r>
      <w:r>
        <w:rPr>
          <w:spacing w:val="-1"/>
        </w:rPr>
        <w:t>的一定比例，每年给予最高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1"/>
        </w:rPr>
        <w:t>万元资金补贴。（</w:t>
      </w:r>
      <w:r>
        <w:rPr>
          <w:rFonts w:ascii="楷体" w:hAnsi="楷体" w:eastAsia="楷体" w:cs="楷体"/>
          <w:spacing w:val="-1"/>
        </w:rPr>
        <w:t>责任单位：市科</w:t>
      </w:r>
      <w:r>
        <w:rPr>
          <w:rFonts w:ascii="楷体" w:hAnsi="楷体" w:eastAsia="楷体" w:cs="楷体"/>
        </w:rPr>
        <w:t xml:space="preserve"> </w:t>
      </w:r>
      <w:r>
        <w:rPr>
          <w:rFonts w:ascii="楷体" w:hAnsi="楷体" w:eastAsia="楷体" w:cs="楷体"/>
          <w:spacing w:val="4"/>
        </w:rPr>
        <w:t>技局、市财政局、市税务局</w:t>
      </w:r>
      <w:r>
        <w:rPr>
          <w:spacing w:val="4"/>
        </w:rPr>
        <w:t>）</w:t>
      </w:r>
    </w:p>
    <w:p w14:paraId="24F04147">
      <w:pPr>
        <w:spacing w:before="144" w:line="229" w:lineRule="auto"/>
        <w:ind w:left="658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（三）加快高新技术企业发展</w:t>
      </w:r>
    </w:p>
    <w:p w14:paraId="61BF66D8">
      <w:pPr>
        <w:spacing w:line="229" w:lineRule="auto"/>
        <w:rPr>
          <w:rFonts w:ascii="楷体" w:hAnsi="楷体" w:eastAsia="楷体" w:cs="楷体"/>
          <w:sz w:val="31"/>
          <w:szCs w:val="31"/>
        </w:rPr>
        <w:sectPr>
          <w:footerReference r:id="rId8" w:type="default"/>
          <w:pgSz w:w="11906" w:h="16839"/>
          <w:pgMar w:top="1431" w:right="1409" w:bottom="1736" w:left="1539" w:header="0" w:footer="1458" w:gutter="0"/>
          <w:cols w:space="720" w:num="1"/>
        </w:sectPr>
      </w:pPr>
    </w:p>
    <w:p w14:paraId="47C9DEAA">
      <w:pPr>
        <w:spacing w:line="356" w:lineRule="auto"/>
        <w:rPr>
          <w:rFonts w:ascii="Arial"/>
          <w:sz w:val="21"/>
        </w:rPr>
      </w:pPr>
    </w:p>
    <w:p w14:paraId="581F6C71">
      <w:pPr>
        <w:spacing w:line="356" w:lineRule="auto"/>
        <w:rPr>
          <w:rFonts w:ascii="Arial"/>
          <w:sz w:val="21"/>
        </w:rPr>
      </w:pPr>
    </w:p>
    <w:p w14:paraId="7C29767B">
      <w:pPr>
        <w:pStyle w:val="2"/>
        <w:spacing w:before="100" w:line="305" w:lineRule="auto"/>
        <w:ind w:left="26" w:firstLine="615"/>
        <w:jc w:val="both"/>
      </w:pPr>
      <w:r>
        <w:rPr>
          <w:spacing w:val="6"/>
        </w:rPr>
        <w:t>进一步加大对高企的持续多角度支持，在人才激励、技术攻</w:t>
      </w:r>
      <w:r>
        <w:rPr>
          <w:spacing w:val="11"/>
        </w:rPr>
        <w:t xml:space="preserve"> </w:t>
      </w:r>
      <w:r>
        <w:rPr>
          <w:spacing w:val="6"/>
        </w:rPr>
        <w:t>关、科技金融、交流学习四个方面，协同发力，支持高企</w:t>
      </w:r>
      <w:r>
        <w:rPr>
          <w:spacing w:val="5"/>
        </w:rPr>
        <w:t>做大做</w:t>
      </w:r>
      <w:r>
        <w:t xml:space="preserve"> </w:t>
      </w:r>
      <w:r>
        <w:rPr>
          <w:spacing w:val="2"/>
        </w:rPr>
        <w:t>强，发挥示范带动作用，形成</w:t>
      </w:r>
      <w:r>
        <w:rPr>
          <w:spacing w:val="-108"/>
        </w:rPr>
        <w:t xml:space="preserve"> </w:t>
      </w:r>
      <w:r>
        <w:rPr>
          <w:spacing w:val="2"/>
        </w:rPr>
        <w:t>“虹吸效应”。</w:t>
      </w:r>
    </w:p>
    <w:p w14:paraId="612CA7E4">
      <w:pPr>
        <w:pStyle w:val="2"/>
        <w:spacing w:before="56" w:line="298" w:lineRule="auto"/>
        <w:ind w:left="9" w:firstLine="656"/>
      </w:pPr>
      <w:r>
        <w:rPr>
          <w:rFonts w:ascii="Times New Roman" w:hAnsi="Times New Roman" w:eastAsia="Times New Roman" w:cs="Times New Roman"/>
          <w:spacing w:val="-1"/>
        </w:rPr>
        <w:t>1</w:t>
      </w:r>
      <w:r>
        <w:rPr>
          <w:spacing w:val="-1"/>
        </w:rPr>
        <w:t>．试点高企人才个税奖励。高企聘任的年工资薪金个人所得</w:t>
      </w:r>
      <w:r>
        <w:rPr>
          <w:spacing w:val="12"/>
        </w:rPr>
        <w:t xml:space="preserve"> </w:t>
      </w:r>
      <w:r>
        <w:rPr>
          <w:spacing w:val="-1"/>
        </w:rPr>
        <w:t>税在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8</w:t>
      </w:r>
      <w:r>
        <w:rPr>
          <w:rFonts w:ascii="Times New Roman" w:hAnsi="Times New Roman" w:eastAsia="Times New Roman" w:cs="Times New Roman"/>
          <w:spacing w:val="30"/>
          <w:w w:val="101"/>
        </w:rPr>
        <w:t xml:space="preserve"> </w:t>
      </w:r>
      <w:r>
        <w:rPr>
          <w:spacing w:val="-1"/>
        </w:rPr>
        <w:t>万（含） 以上的各类人才，按其工</w:t>
      </w:r>
      <w:r>
        <w:rPr>
          <w:spacing w:val="-2"/>
        </w:rPr>
        <w:t>资薪金所得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5 </w:t>
      </w:r>
      <w:r>
        <w:rPr>
          <w:spacing w:val="-2"/>
        </w:rPr>
        <w:t>年内缴纳</w:t>
      </w:r>
      <w:r>
        <w:t xml:space="preserve"> </w:t>
      </w:r>
      <w:r>
        <w:rPr>
          <w:spacing w:val="2"/>
        </w:rPr>
        <w:t>个人所得税地方留成部分的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50%</w:t>
      </w:r>
      <w:r>
        <w:rPr>
          <w:spacing w:val="2"/>
        </w:rPr>
        <w:t>，</w:t>
      </w:r>
      <w:r>
        <w:rPr>
          <w:spacing w:val="-83"/>
        </w:rPr>
        <w:t xml:space="preserve"> </w:t>
      </w:r>
      <w:r>
        <w:rPr>
          <w:spacing w:val="2"/>
        </w:rPr>
        <w:t>由同级财政予以奖励。（</w:t>
      </w:r>
      <w:r>
        <w:rPr>
          <w:rFonts w:ascii="楷体" w:hAnsi="楷体" w:eastAsia="楷体" w:cs="楷体"/>
          <w:spacing w:val="2"/>
        </w:rPr>
        <w:t>责任</w:t>
      </w:r>
      <w:r>
        <w:rPr>
          <w:rFonts w:ascii="楷体" w:hAnsi="楷体" w:eastAsia="楷体" w:cs="楷体"/>
        </w:rPr>
        <w:t xml:space="preserve"> </w:t>
      </w:r>
      <w:r>
        <w:rPr>
          <w:rFonts w:ascii="楷体" w:hAnsi="楷体" w:eastAsia="楷体" w:cs="楷体"/>
          <w:spacing w:val="6"/>
        </w:rPr>
        <w:t>单位：枞阳县政府、铜官区政府、义安区政府、郊区政府、铜陵</w:t>
      </w:r>
      <w:r>
        <w:rPr>
          <w:rFonts w:ascii="楷体" w:hAnsi="楷体" w:eastAsia="楷体" w:cs="楷体"/>
          <w:spacing w:val="13"/>
        </w:rPr>
        <w:t xml:space="preserve"> </w:t>
      </w:r>
      <w:r>
        <w:rPr>
          <w:rFonts w:ascii="楷体" w:hAnsi="楷体" w:eastAsia="楷体" w:cs="楷体"/>
          <w:spacing w:val="5"/>
        </w:rPr>
        <w:t>经开区管委会、市财政局、市税务局、市科技局</w:t>
      </w:r>
      <w:r>
        <w:rPr>
          <w:spacing w:val="5"/>
        </w:rPr>
        <w:t>）</w:t>
      </w:r>
    </w:p>
    <w:p w14:paraId="51ED0F57">
      <w:pPr>
        <w:pStyle w:val="2"/>
        <w:spacing w:before="146" w:line="301" w:lineRule="auto"/>
        <w:ind w:left="6" w:firstLine="629"/>
      </w:pPr>
      <w:r>
        <w:rPr>
          <w:rFonts w:ascii="Times New Roman" w:hAnsi="Times New Roman" w:eastAsia="Times New Roman" w:cs="Times New Roman"/>
        </w:rPr>
        <w:t>2</w:t>
      </w:r>
      <w:r>
        <w:t>．引导高企加强技术攻关。支持高企开展关键核心共性技术</w:t>
      </w:r>
      <w:r>
        <w:rPr>
          <w:spacing w:val="16"/>
        </w:rPr>
        <w:t xml:space="preserve"> </w:t>
      </w:r>
      <w:r>
        <w:rPr>
          <w:spacing w:val="6"/>
        </w:rPr>
        <w:t>攻关，市级科技计划高新领域原则上只支持高企和高企培育库内</w:t>
      </w:r>
      <w:r>
        <w:rPr>
          <w:spacing w:val="17"/>
        </w:rPr>
        <w:t xml:space="preserve"> </w:t>
      </w:r>
      <w:r>
        <w:rPr>
          <w:spacing w:val="6"/>
        </w:rPr>
        <w:t>企业申报。市战略性新兴产业资金、工业转型资金和创新创业资</w:t>
      </w:r>
      <w:r>
        <w:rPr>
          <w:spacing w:val="17"/>
        </w:rPr>
        <w:t xml:space="preserve"> </w:t>
      </w:r>
      <w:r>
        <w:rPr>
          <w:spacing w:val="6"/>
        </w:rPr>
        <w:t>金优先支持高企。优先推荐高企申报省级各类科技计划、制造强</w:t>
      </w:r>
      <w:r>
        <w:rPr>
          <w:spacing w:val="17"/>
        </w:rPr>
        <w:t xml:space="preserve"> </w:t>
      </w:r>
      <w:r>
        <w:rPr>
          <w:spacing w:val="-4"/>
        </w:rPr>
        <w:t>省建设、省“三重一创”若干政策。（</w:t>
      </w:r>
      <w:r>
        <w:rPr>
          <w:rFonts w:ascii="楷体" w:hAnsi="楷体" w:eastAsia="楷体" w:cs="楷体"/>
          <w:spacing w:val="-4"/>
        </w:rPr>
        <w:t>责任单</w:t>
      </w:r>
      <w:r>
        <w:rPr>
          <w:rFonts w:ascii="楷体" w:hAnsi="楷体" w:eastAsia="楷体" w:cs="楷体"/>
          <w:spacing w:val="-5"/>
        </w:rPr>
        <w:t>位：市科技局、市发</w:t>
      </w:r>
      <w:r>
        <w:rPr>
          <w:rFonts w:ascii="楷体" w:hAnsi="楷体" w:eastAsia="楷体" w:cs="楷体"/>
        </w:rPr>
        <w:t xml:space="preserve"> </w:t>
      </w:r>
      <w:r>
        <w:rPr>
          <w:rFonts w:ascii="楷体" w:hAnsi="楷体" w:eastAsia="楷体" w:cs="楷体"/>
          <w:spacing w:val="5"/>
        </w:rPr>
        <w:t>展改革委、市经济和信息化局</w:t>
      </w:r>
      <w:r>
        <w:rPr>
          <w:spacing w:val="5"/>
        </w:rPr>
        <w:t>）</w:t>
      </w:r>
    </w:p>
    <w:p w14:paraId="4EE851CA">
      <w:pPr>
        <w:pStyle w:val="2"/>
        <w:spacing w:before="147" w:line="303" w:lineRule="auto"/>
        <w:ind w:firstLine="641"/>
      </w:pPr>
      <w:r>
        <w:rPr>
          <w:rFonts w:ascii="Times New Roman" w:hAnsi="Times New Roman" w:eastAsia="Times New Roman" w:cs="Times New Roman"/>
          <w:spacing w:val="5"/>
        </w:rPr>
        <w:t>3</w:t>
      </w:r>
      <w:r>
        <w:rPr>
          <w:spacing w:val="5"/>
        </w:rPr>
        <w:t>．完善科技金融融合服务。符合工信部联企业〔</w:t>
      </w:r>
      <w:r>
        <w:rPr>
          <w:rFonts w:ascii="Times New Roman" w:hAnsi="Times New Roman" w:eastAsia="Times New Roman" w:cs="Times New Roman"/>
          <w:spacing w:val="5"/>
        </w:rPr>
        <w:t>2011</w:t>
      </w:r>
      <w:r>
        <w:rPr>
          <w:spacing w:val="5"/>
        </w:rPr>
        <w:t>〕</w:t>
      </w:r>
      <w:r>
        <w:rPr>
          <w:rFonts w:ascii="Times New Roman" w:hAnsi="Times New Roman" w:eastAsia="Times New Roman" w:cs="Times New Roman"/>
          <w:spacing w:val="5"/>
        </w:rPr>
        <w:t>300</w:t>
      </w:r>
      <w:r>
        <w:rPr>
          <w:rFonts w:ascii="Times New Roman" w:hAnsi="Times New Roman" w:eastAsia="Times New Roman" w:cs="Times New Roman"/>
          <w:spacing w:val="4"/>
        </w:rPr>
        <w:t xml:space="preserve"> </w:t>
      </w:r>
      <w:r>
        <w:rPr>
          <w:spacing w:val="5"/>
        </w:rPr>
        <w:t>号文件规定中小微企业标准的高企，可直接进入</w:t>
      </w:r>
      <w:r>
        <w:rPr>
          <w:spacing w:val="-104"/>
        </w:rPr>
        <w:t xml:space="preserve"> </w:t>
      </w:r>
      <w:r>
        <w:rPr>
          <w:spacing w:val="5"/>
        </w:rPr>
        <w:t>“科技贷”企业</w:t>
      </w:r>
      <w:r>
        <w:t xml:space="preserve"> </w:t>
      </w:r>
      <w:r>
        <w:rPr>
          <w:spacing w:val="7"/>
        </w:rPr>
        <w:t>库。入库企业信用状况良好，具有按期偿付贷款本息</w:t>
      </w:r>
      <w:r>
        <w:rPr>
          <w:spacing w:val="6"/>
        </w:rPr>
        <w:t>能力的可申</w:t>
      </w:r>
      <w:r>
        <w:t xml:space="preserve"> </w:t>
      </w:r>
      <w:r>
        <w:rPr>
          <w:spacing w:val="-4"/>
        </w:rPr>
        <w:t>请办理免担保、免抵押、“科技贷”业务。单户企业“科技</w:t>
      </w:r>
      <w:r>
        <w:rPr>
          <w:spacing w:val="-5"/>
        </w:rPr>
        <w:t>贷”贷</w:t>
      </w:r>
      <w:r>
        <w:t xml:space="preserve"> </w:t>
      </w:r>
      <w:r>
        <w:rPr>
          <w:spacing w:val="4"/>
        </w:rPr>
        <w:t>款额度不超过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500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4"/>
        </w:rPr>
        <w:t>万元，贷款期限不超过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3 </w:t>
      </w:r>
      <w:r>
        <w:rPr>
          <w:spacing w:val="4"/>
        </w:rPr>
        <w:t>年，贷款利率不高于</w:t>
      </w:r>
      <w:r>
        <w:t xml:space="preserve"> </w:t>
      </w:r>
      <w:r>
        <w:rPr>
          <w:spacing w:val="-2"/>
        </w:rPr>
        <w:t>实际投放时贷款市场报价利率（</w:t>
      </w:r>
      <w:r>
        <w:rPr>
          <w:rFonts w:ascii="Times New Roman" w:hAnsi="Times New Roman" w:eastAsia="Times New Roman" w:cs="Times New Roman"/>
          <w:spacing w:val="-2"/>
        </w:rPr>
        <w:t>LPR</w:t>
      </w:r>
      <w:r>
        <w:rPr>
          <w:spacing w:val="-2"/>
        </w:rPr>
        <w:t>）执行</w:t>
      </w:r>
      <w:r>
        <w:rPr>
          <w:spacing w:val="-3"/>
        </w:rPr>
        <w:t>。（</w:t>
      </w:r>
      <w:r>
        <w:rPr>
          <w:rFonts w:ascii="楷体" w:hAnsi="楷体" w:eastAsia="楷体" w:cs="楷体"/>
          <w:spacing w:val="-3"/>
        </w:rPr>
        <w:t>责任单位：市地方</w:t>
      </w:r>
      <w:r>
        <w:rPr>
          <w:rFonts w:ascii="楷体" w:hAnsi="楷体" w:eastAsia="楷体" w:cs="楷体"/>
        </w:rPr>
        <w:t xml:space="preserve"> </w:t>
      </w:r>
      <w:r>
        <w:rPr>
          <w:rFonts w:ascii="楷体" w:hAnsi="楷体" w:eastAsia="楷体" w:cs="楷体"/>
          <w:spacing w:val="6"/>
        </w:rPr>
        <w:t>金融监管局、市科技局、市财政局、市审计局、</w:t>
      </w:r>
      <w:r>
        <w:rPr>
          <w:rFonts w:ascii="楷体" w:hAnsi="楷体" w:eastAsia="楷体" w:cs="楷体"/>
          <w:spacing w:val="5"/>
        </w:rPr>
        <w:t>市发投公司</w:t>
      </w:r>
      <w:r>
        <w:rPr>
          <w:spacing w:val="5"/>
        </w:rPr>
        <w:t>）</w:t>
      </w:r>
    </w:p>
    <w:p w14:paraId="4FF71ABE">
      <w:pPr>
        <w:pStyle w:val="2"/>
        <w:spacing w:before="145" w:line="285" w:lineRule="auto"/>
        <w:ind w:left="7" w:firstLine="626"/>
      </w:pPr>
      <w:r>
        <w:rPr>
          <w:rFonts w:ascii="Times New Roman" w:hAnsi="Times New Roman" w:eastAsia="Times New Roman" w:cs="Times New Roman"/>
          <w:spacing w:val="1"/>
        </w:rPr>
        <w:t>4</w:t>
      </w:r>
      <w:r>
        <w:rPr>
          <w:spacing w:val="1"/>
        </w:rPr>
        <w:t>．加强高企对外交流学习。坚持“请进来”和“</w:t>
      </w:r>
      <w:r>
        <w:t xml:space="preserve">走出去”并 </w:t>
      </w:r>
      <w:r>
        <w:rPr>
          <w:spacing w:val="6"/>
        </w:rPr>
        <w:t>举，适时邀请从事科技管理、经济研究、企业管理的各类专家来</w:t>
      </w:r>
      <w:r>
        <w:rPr>
          <w:spacing w:val="16"/>
        </w:rPr>
        <w:t xml:space="preserve"> </w:t>
      </w:r>
      <w:r>
        <w:rPr>
          <w:spacing w:val="4"/>
        </w:rPr>
        <w:t>我市开展讲座，丰富和拓展本市企业的视野和眼界。</w:t>
      </w:r>
      <w:r>
        <w:rPr>
          <w:spacing w:val="-83"/>
        </w:rPr>
        <w:t xml:space="preserve"> </w:t>
      </w:r>
      <w:r>
        <w:rPr>
          <w:spacing w:val="4"/>
        </w:rPr>
        <w:t>同时，组织</w:t>
      </w:r>
    </w:p>
    <w:p w14:paraId="4A1D0F37">
      <w:pPr>
        <w:spacing w:line="285" w:lineRule="auto"/>
        <w:sectPr>
          <w:footerReference r:id="rId9" w:type="default"/>
          <w:pgSz w:w="11906" w:h="16839"/>
          <w:pgMar w:top="1431" w:right="1502" w:bottom="1734" w:left="1531" w:header="0" w:footer="1458" w:gutter="0"/>
          <w:cols w:space="720" w:num="1"/>
        </w:sectPr>
      </w:pPr>
    </w:p>
    <w:p w14:paraId="74BB13FA">
      <w:pPr>
        <w:spacing w:line="355" w:lineRule="auto"/>
        <w:rPr>
          <w:rFonts w:ascii="Arial"/>
          <w:sz w:val="21"/>
        </w:rPr>
      </w:pPr>
    </w:p>
    <w:p w14:paraId="533E87DA">
      <w:pPr>
        <w:spacing w:line="356" w:lineRule="auto"/>
        <w:rPr>
          <w:rFonts w:ascii="Arial"/>
          <w:sz w:val="21"/>
        </w:rPr>
      </w:pPr>
    </w:p>
    <w:p w14:paraId="081BBE12">
      <w:pPr>
        <w:pStyle w:val="2"/>
        <w:spacing w:before="101" w:line="310" w:lineRule="auto"/>
        <w:ind w:right="139" w:firstLine="19"/>
        <w:jc w:val="both"/>
      </w:pPr>
      <w:r>
        <w:rPr>
          <w:spacing w:val="6"/>
        </w:rPr>
        <w:t>高企和高企培育库内企业的有关人员，到高新技术产业发</w:t>
      </w:r>
      <w:r>
        <w:rPr>
          <w:spacing w:val="5"/>
        </w:rPr>
        <w:t>展成效</w:t>
      </w:r>
      <w:r>
        <w:t xml:space="preserve"> </w:t>
      </w:r>
      <w:r>
        <w:rPr>
          <w:spacing w:val="6"/>
        </w:rPr>
        <w:t>显著的先进地区考察学习，取长补短，推动高企逐步成长为瞪羚</w:t>
      </w:r>
      <w:r>
        <w:rPr>
          <w:spacing w:val="17"/>
        </w:rPr>
        <w:t xml:space="preserve"> </w:t>
      </w:r>
      <w:r>
        <w:rPr>
          <w:spacing w:val="-4"/>
        </w:rPr>
        <w:t>企业乃至独角兽企业，推进我市经济高质量发</w:t>
      </w:r>
      <w:r>
        <w:rPr>
          <w:spacing w:val="-5"/>
        </w:rPr>
        <w:t>展。（</w:t>
      </w:r>
      <w:r>
        <w:rPr>
          <w:rFonts w:ascii="楷体" w:hAnsi="楷体" w:eastAsia="楷体" w:cs="楷体"/>
          <w:spacing w:val="-5"/>
        </w:rPr>
        <w:t>责任单位：市</w:t>
      </w:r>
      <w:r>
        <w:rPr>
          <w:rFonts w:ascii="楷体" w:hAnsi="楷体" w:eastAsia="楷体" w:cs="楷体"/>
        </w:rPr>
        <w:t xml:space="preserve"> </w:t>
      </w:r>
      <w:r>
        <w:rPr>
          <w:rFonts w:ascii="楷体" w:hAnsi="楷体" w:eastAsia="楷体" w:cs="楷体"/>
          <w:spacing w:val="6"/>
        </w:rPr>
        <w:t>科技局、市财政局、市税务局、枞阳县政府、铜官区政府、义安</w:t>
      </w:r>
      <w:r>
        <w:rPr>
          <w:rFonts w:ascii="楷体" w:hAnsi="楷体" w:eastAsia="楷体" w:cs="楷体"/>
          <w:spacing w:val="17"/>
        </w:rPr>
        <w:t xml:space="preserve"> </w:t>
      </w:r>
      <w:r>
        <w:rPr>
          <w:rFonts w:ascii="楷体" w:hAnsi="楷体" w:eastAsia="楷体" w:cs="楷体"/>
          <w:spacing w:val="5"/>
        </w:rPr>
        <w:t>区政府、郊区政府、铜陵经开区管委会</w:t>
      </w:r>
      <w:r>
        <w:rPr>
          <w:spacing w:val="5"/>
        </w:rPr>
        <w:t>）</w:t>
      </w:r>
    </w:p>
    <w:p w14:paraId="4B812CBC">
      <w:pPr>
        <w:spacing w:before="48" w:line="228" w:lineRule="auto"/>
        <w:ind w:left="641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三、组织保障</w:t>
      </w:r>
    </w:p>
    <w:p w14:paraId="41BCCF6F">
      <w:pPr>
        <w:pStyle w:val="2"/>
        <w:spacing w:before="144" w:line="297" w:lineRule="auto"/>
        <w:ind w:left="2" w:right="76" w:firstLine="658"/>
      </w:pPr>
      <w:r>
        <w:rPr>
          <w:rFonts w:ascii="楷体" w:hAnsi="楷体" w:eastAsia="楷体" w:cs="楷体"/>
          <w:spacing w:val="5"/>
        </w:rPr>
        <w:t>（一）加强组织领导。</w:t>
      </w:r>
      <w:r>
        <w:rPr>
          <w:spacing w:val="5"/>
        </w:rPr>
        <w:t>成立由市政府分管负责同志为组长的</w:t>
      </w:r>
      <w:r>
        <w:rPr>
          <w:spacing w:val="9"/>
        </w:rPr>
        <w:t xml:space="preserve"> </w:t>
      </w:r>
      <w:r>
        <w:rPr>
          <w:spacing w:val="6"/>
        </w:rPr>
        <w:t>高新技术企业培育认定工作领导小组，具体负责高新技术企业倍</w:t>
      </w:r>
      <w:r>
        <w:rPr>
          <w:spacing w:val="14"/>
        </w:rPr>
        <w:t xml:space="preserve"> </w:t>
      </w:r>
      <w:r>
        <w:rPr>
          <w:spacing w:val="4"/>
        </w:rPr>
        <w:t>增计划实施方案（</w:t>
      </w:r>
      <w:r>
        <w:rPr>
          <w:rFonts w:ascii="Times New Roman" w:hAnsi="Times New Roman" w:eastAsia="Times New Roman" w:cs="Times New Roman"/>
          <w:spacing w:val="4"/>
        </w:rPr>
        <w:t>2020</w:t>
      </w:r>
      <w:r>
        <w:rPr>
          <w:spacing w:val="4"/>
        </w:rPr>
        <w:t>—</w:t>
      </w:r>
      <w:r>
        <w:rPr>
          <w:rFonts w:ascii="Times New Roman" w:hAnsi="Times New Roman" w:eastAsia="Times New Roman" w:cs="Times New Roman"/>
          <w:spacing w:val="4"/>
        </w:rPr>
        <w:t>2025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4"/>
        </w:rPr>
        <w:t>）的组织实施。领导小组办公室设</w:t>
      </w:r>
      <w:r>
        <w:t xml:space="preserve"> </w:t>
      </w:r>
      <w:r>
        <w:rPr>
          <w:spacing w:val="6"/>
        </w:rPr>
        <w:t>在市科技局，统筹协调全市高企培育认定工作。县区政府、铜陵</w:t>
      </w:r>
      <w:r>
        <w:rPr>
          <w:spacing w:val="14"/>
        </w:rPr>
        <w:t xml:space="preserve"> </w:t>
      </w:r>
      <w:r>
        <w:rPr>
          <w:spacing w:val="-2"/>
        </w:rPr>
        <w:t>经开区管委会也应成立相应组织，协调落实本辖区</w:t>
      </w:r>
      <w:r>
        <w:rPr>
          <w:spacing w:val="-3"/>
        </w:rPr>
        <w:t>高企培育工作。</w:t>
      </w:r>
    </w:p>
    <w:p w14:paraId="45506B6D">
      <w:pPr>
        <w:pStyle w:val="2"/>
        <w:spacing w:before="156" w:line="285" w:lineRule="auto"/>
        <w:ind w:left="19" w:right="71" w:firstLine="640"/>
      </w:pPr>
      <w:r>
        <w:rPr>
          <w:rFonts w:ascii="楷体" w:hAnsi="楷体" w:eastAsia="楷体" w:cs="楷体"/>
          <w:spacing w:val="-6"/>
        </w:rPr>
        <w:t>（二）完善考核机制。</w:t>
      </w:r>
      <w:r>
        <w:rPr>
          <w:spacing w:val="-6"/>
        </w:rPr>
        <w:t>加强对已在县区考核指标中的“新认定</w:t>
      </w:r>
      <w:r>
        <w:t xml:space="preserve"> </w:t>
      </w:r>
      <w:r>
        <w:rPr>
          <w:spacing w:val="-5"/>
        </w:rPr>
        <w:t>高新技术企业数”的督查，并将“新认定高新技术企业数”纳入园</w:t>
      </w:r>
      <w:r>
        <w:rPr>
          <w:spacing w:val="5"/>
        </w:rPr>
        <w:t xml:space="preserve"> </w:t>
      </w:r>
      <w:r>
        <w:rPr>
          <w:spacing w:val="-13"/>
        </w:rPr>
        <w:t>区考核体系指标，实行定期督查通报制度，强化各单位的主体责任。</w:t>
      </w:r>
    </w:p>
    <w:p w14:paraId="3BF30A79">
      <w:pPr>
        <w:pStyle w:val="2"/>
        <w:spacing w:before="154" w:line="285" w:lineRule="auto"/>
        <w:ind w:left="13" w:right="52" w:firstLine="646"/>
      </w:pPr>
      <w:r>
        <w:rPr>
          <w:rFonts w:ascii="楷体" w:hAnsi="楷体" w:eastAsia="楷体" w:cs="楷体"/>
          <w:spacing w:val="6"/>
        </w:rPr>
        <w:t>（三）强化资金保障。</w:t>
      </w:r>
      <w:r>
        <w:rPr>
          <w:spacing w:val="6"/>
        </w:rPr>
        <w:t>积极发挥财政资金激励和引导作用，</w:t>
      </w:r>
      <w:r>
        <w:rPr>
          <w:spacing w:val="18"/>
        </w:rPr>
        <w:t xml:space="preserve"> </w:t>
      </w:r>
      <w:r>
        <w:rPr>
          <w:spacing w:val="-2"/>
        </w:rPr>
        <w:t>激发企业创新发展动力，为全市高企培育认定工作提供资金保障。</w:t>
      </w:r>
      <w:r>
        <w:rPr>
          <w:spacing w:val="6"/>
        </w:rPr>
        <w:t xml:space="preserve"> </w:t>
      </w:r>
      <w:r>
        <w:rPr>
          <w:spacing w:val="-13"/>
        </w:rPr>
        <w:t>市财政局和县区政府、铜陵经开区管委会负责落实各年度奖补资金。</w:t>
      </w:r>
    </w:p>
    <w:p w14:paraId="5D365562">
      <w:pPr>
        <w:pStyle w:val="2"/>
        <w:spacing w:before="153" w:line="293" w:lineRule="auto"/>
        <w:ind w:left="9" w:right="139" w:firstLine="650"/>
      </w:pPr>
      <w:r>
        <w:rPr>
          <w:rFonts w:ascii="楷体" w:hAnsi="楷体" w:eastAsia="楷体" w:cs="楷体"/>
          <w:spacing w:val="5"/>
        </w:rPr>
        <w:t>（四）加大宣传力度。</w:t>
      </w:r>
      <w:r>
        <w:rPr>
          <w:spacing w:val="5"/>
        </w:rPr>
        <w:t>加强对科技型中小企业和高企培育认</w:t>
      </w:r>
      <w:r>
        <w:rPr>
          <w:spacing w:val="9"/>
        </w:rPr>
        <w:t xml:space="preserve"> </w:t>
      </w:r>
      <w:r>
        <w:rPr>
          <w:spacing w:val="6"/>
        </w:rPr>
        <w:t>定工作的宣传发动，加大科技政策解读力度，激发科技人员和企</w:t>
      </w:r>
      <w:r>
        <w:rPr>
          <w:spacing w:val="7"/>
        </w:rPr>
        <w:t xml:space="preserve"> </w:t>
      </w:r>
      <w:r>
        <w:rPr>
          <w:spacing w:val="6"/>
        </w:rPr>
        <w:t>业家的创新创业热情，努力营造全社会关心支持高企培育发展的</w:t>
      </w:r>
      <w:r>
        <w:rPr>
          <w:spacing w:val="7"/>
        </w:rPr>
        <w:t xml:space="preserve"> </w:t>
      </w:r>
      <w:r>
        <w:rPr>
          <w:spacing w:val="2"/>
        </w:rPr>
        <w:t>浓厚氛围。</w:t>
      </w:r>
    </w:p>
    <w:p w14:paraId="28D1FF94">
      <w:pPr>
        <w:pStyle w:val="2"/>
        <w:spacing w:before="155" w:line="222" w:lineRule="auto"/>
        <w:ind w:left="634"/>
      </w:pPr>
      <w:r>
        <w:rPr>
          <w:spacing w:val="4"/>
        </w:rPr>
        <w:t>本实施方案自印发之日实施，有效期至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2025 </w:t>
      </w:r>
      <w:r>
        <w:rPr>
          <w:spacing w:val="4"/>
        </w:rPr>
        <w:t>年。</w:t>
      </w:r>
    </w:p>
    <w:p w14:paraId="5EA0436F">
      <w:pPr>
        <w:spacing w:line="292" w:lineRule="auto"/>
        <w:rPr>
          <w:rFonts w:ascii="Arial"/>
          <w:sz w:val="21"/>
        </w:rPr>
      </w:pPr>
    </w:p>
    <w:p w14:paraId="1A9EFF2F">
      <w:pPr>
        <w:spacing w:line="292" w:lineRule="auto"/>
        <w:rPr>
          <w:rFonts w:ascii="Arial"/>
          <w:sz w:val="21"/>
        </w:rPr>
      </w:pPr>
    </w:p>
    <w:p w14:paraId="0AB360B2">
      <w:pPr>
        <w:pStyle w:val="2"/>
        <w:spacing w:before="102" w:line="222" w:lineRule="auto"/>
        <w:jc w:val="right"/>
      </w:pPr>
      <w:r>
        <w:rPr>
          <w:spacing w:val="-11"/>
        </w:rPr>
        <w:t>附件：铜陵市高新技术企业倍增计划任务分解表（</w:t>
      </w:r>
      <w:r>
        <w:rPr>
          <w:rFonts w:ascii="Times New Roman" w:hAnsi="Times New Roman" w:eastAsia="Times New Roman" w:cs="Times New Roman"/>
          <w:spacing w:val="-11"/>
        </w:rPr>
        <w:t>2020</w:t>
      </w:r>
      <w:r>
        <w:rPr>
          <w:spacing w:val="-11"/>
        </w:rPr>
        <w:t>—</w:t>
      </w:r>
      <w:r>
        <w:rPr>
          <w:rFonts w:ascii="Times New Roman" w:hAnsi="Times New Roman" w:eastAsia="Times New Roman" w:cs="Times New Roman"/>
          <w:spacing w:val="-11"/>
        </w:rPr>
        <w:t>2025</w:t>
      </w:r>
      <w:r>
        <w:rPr>
          <w:spacing w:val="-11"/>
        </w:rPr>
        <w:t>）</w:t>
      </w:r>
    </w:p>
    <w:p w14:paraId="630B08AC">
      <w:pPr>
        <w:spacing w:line="222" w:lineRule="auto"/>
        <w:sectPr>
          <w:footerReference r:id="rId10" w:type="default"/>
          <w:pgSz w:w="11906" w:h="16839"/>
          <w:pgMar w:top="1431" w:right="1362" w:bottom="1736" w:left="1537" w:header="0" w:footer="1458" w:gutter="0"/>
          <w:cols w:space="720" w:num="1"/>
        </w:sectPr>
      </w:pPr>
    </w:p>
    <w:p w14:paraId="6A659223">
      <w:pPr>
        <w:spacing w:line="272" w:lineRule="auto"/>
        <w:rPr>
          <w:rFonts w:ascii="Arial"/>
          <w:sz w:val="21"/>
        </w:rPr>
      </w:pPr>
    </w:p>
    <w:p w14:paraId="28A58129">
      <w:pPr>
        <w:spacing w:line="273" w:lineRule="auto"/>
        <w:rPr>
          <w:rFonts w:ascii="Arial"/>
          <w:sz w:val="21"/>
        </w:rPr>
      </w:pPr>
    </w:p>
    <w:p w14:paraId="1A8D7AA4">
      <w:pPr>
        <w:spacing w:before="100" w:line="230" w:lineRule="auto"/>
        <w:ind w:left="3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 w14:paraId="7CEF2A17">
      <w:pPr>
        <w:spacing w:line="272" w:lineRule="auto"/>
        <w:rPr>
          <w:rFonts w:ascii="Arial"/>
          <w:sz w:val="21"/>
        </w:rPr>
      </w:pPr>
    </w:p>
    <w:p w14:paraId="722CE6D0">
      <w:pPr>
        <w:spacing w:line="272" w:lineRule="auto"/>
        <w:rPr>
          <w:rFonts w:ascii="Arial"/>
          <w:sz w:val="21"/>
        </w:rPr>
      </w:pPr>
    </w:p>
    <w:p w14:paraId="21F43DD3">
      <w:pPr>
        <w:spacing w:before="185" w:line="192" w:lineRule="auto"/>
        <w:ind w:left="1174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3"/>
          <w:sz w:val="43"/>
          <w:szCs w:val="43"/>
        </w:rPr>
        <w:t xml:space="preserve">铜陵市高新技术企业倍增计划任务分解表（ </w:t>
      </w:r>
      <w:r>
        <w:rPr>
          <w:rFonts w:ascii="Times New Roman" w:hAnsi="Times New Roman" w:eastAsia="Times New Roman" w:cs="Times New Roman"/>
          <w:spacing w:val="3"/>
          <w:sz w:val="43"/>
          <w:szCs w:val="43"/>
        </w:rPr>
        <w:t>2020</w:t>
      </w:r>
      <w:r>
        <w:rPr>
          <w:rFonts w:ascii="微软雅黑" w:hAnsi="微软雅黑" w:eastAsia="微软雅黑" w:cs="微软雅黑"/>
          <w:spacing w:val="2"/>
          <w:sz w:val="43"/>
          <w:szCs w:val="43"/>
        </w:rPr>
        <w:t>—</w:t>
      </w:r>
      <w:r>
        <w:rPr>
          <w:rFonts w:ascii="Times New Roman" w:hAnsi="Times New Roman" w:eastAsia="Times New Roman" w:cs="Times New Roman"/>
          <w:spacing w:val="2"/>
          <w:sz w:val="43"/>
          <w:szCs w:val="43"/>
        </w:rPr>
        <w:t xml:space="preserve">2025 </w:t>
      </w:r>
      <w:r>
        <w:rPr>
          <w:rFonts w:ascii="微软雅黑" w:hAnsi="微软雅黑" w:eastAsia="微软雅黑" w:cs="微软雅黑"/>
          <w:spacing w:val="2"/>
          <w:sz w:val="43"/>
          <w:szCs w:val="43"/>
        </w:rPr>
        <w:t>）</w:t>
      </w:r>
    </w:p>
    <w:p w14:paraId="7F05E41F">
      <w:pPr>
        <w:spacing w:before="236"/>
      </w:pPr>
    </w:p>
    <w:tbl>
      <w:tblPr>
        <w:tblStyle w:val="5"/>
        <w:tblW w:w="13307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8"/>
        <w:gridCol w:w="1544"/>
        <w:gridCol w:w="1545"/>
        <w:gridCol w:w="1545"/>
        <w:gridCol w:w="1545"/>
        <w:gridCol w:w="1545"/>
        <w:gridCol w:w="1545"/>
        <w:gridCol w:w="1560"/>
      </w:tblGrid>
      <w:tr w14:paraId="05C00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2478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3B45AD82">
            <w:pPr>
              <w:spacing w:line="370" w:lineRule="auto"/>
              <w:rPr>
                <w:rFonts w:ascii="Arial"/>
                <w:sz w:val="21"/>
              </w:rPr>
            </w:pPr>
          </w:p>
          <w:p w14:paraId="597B4A81">
            <w:pPr>
              <w:spacing w:before="91" w:line="223" w:lineRule="auto"/>
              <w:ind w:left="76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9"/>
                <w:sz w:val="28"/>
                <w:szCs w:val="28"/>
              </w:rPr>
              <w:t>县</w:t>
            </w:r>
            <w:r>
              <w:rPr>
                <w:rFonts w:ascii="黑体" w:hAnsi="黑体" w:eastAsia="黑体" w:cs="黑体"/>
                <w:spacing w:val="9"/>
                <w:sz w:val="28"/>
                <w:szCs w:val="28"/>
              </w:rPr>
              <w:t xml:space="preserve">   </w:t>
            </w:r>
            <w:r>
              <w:rPr>
                <w:rFonts w:ascii="黑体" w:hAnsi="黑体" w:eastAsia="黑体" w:cs="黑体"/>
                <w:spacing w:val="-9"/>
                <w:sz w:val="28"/>
                <w:szCs w:val="28"/>
              </w:rPr>
              <w:t>区</w:t>
            </w:r>
          </w:p>
        </w:tc>
        <w:tc>
          <w:tcPr>
            <w:tcW w:w="1544" w:type="dxa"/>
            <w:tcBorders>
              <w:top w:val="single" w:color="000000" w:sz="2" w:space="0"/>
            </w:tcBorders>
            <w:vAlign w:val="top"/>
          </w:tcPr>
          <w:p w14:paraId="5E593995">
            <w:pPr>
              <w:pStyle w:val="6"/>
              <w:spacing w:before="174" w:line="331" w:lineRule="auto"/>
              <w:ind w:left="223" w:right="207" w:firstLine="92"/>
              <w:rPr>
                <w:rFonts w:ascii="黑体" w:hAnsi="黑体" w:eastAsia="黑体" w:cs="黑体"/>
              </w:rPr>
            </w:pPr>
            <w:r>
              <w:rPr>
                <w:spacing w:val="-4"/>
              </w:rPr>
              <w:t>2019</w:t>
            </w:r>
            <w:r>
              <w:rPr>
                <w:spacing w:val="1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</w:rPr>
              <w:t>年</w:t>
            </w:r>
            <w:r>
              <w:rPr>
                <w:rFonts w:ascii="黑体" w:hAnsi="黑体" w:eastAsia="黑体" w:cs="黑体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</w:rPr>
              <w:t>高企总数</w:t>
            </w:r>
          </w:p>
        </w:tc>
        <w:tc>
          <w:tcPr>
            <w:tcW w:w="1545" w:type="dxa"/>
            <w:tcBorders>
              <w:top w:val="single" w:color="000000" w:sz="2" w:space="0"/>
            </w:tcBorders>
            <w:vAlign w:val="top"/>
          </w:tcPr>
          <w:p w14:paraId="4DBE783E">
            <w:pPr>
              <w:pStyle w:val="6"/>
              <w:spacing w:before="174" w:line="331" w:lineRule="auto"/>
              <w:ind w:left="225" w:right="207" w:firstLine="92"/>
              <w:rPr>
                <w:rFonts w:ascii="黑体" w:hAnsi="黑体" w:eastAsia="黑体" w:cs="黑体"/>
              </w:rPr>
            </w:pPr>
            <w:r>
              <w:rPr>
                <w:spacing w:val="-4"/>
              </w:rPr>
              <w:t>2020</w:t>
            </w:r>
            <w:r>
              <w:rPr>
                <w:spacing w:val="1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</w:rPr>
              <w:t>年</w:t>
            </w:r>
            <w:r>
              <w:rPr>
                <w:rFonts w:ascii="黑体" w:hAnsi="黑体" w:eastAsia="黑体" w:cs="黑体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</w:rPr>
              <w:t>高企总数</w:t>
            </w:r>
          </w:p>
        </w:tc>
        <w:tc>
          <w:tcPr>
            <w:tcW w:w="1545" w:type="dxa"/>
            <w:tcBorders>
              <w:top w:val="single" w:color="000000" w:sz="2" w:space="0"/>
            </w:tcBorders>
            <w:vAlign w:val="top"/>
          </w:tcPr>
          <w:p w14:paraId="257E996A">
            <w:pPr>
              <w:pStyle w:val="6"/>
              <w:spacing w:before="174" w:line="331" w:lineRule="auto"/>
              <w:ind w:left="225" w:right="206" w:firstLine="92"/>
              <w:rPr>
                <w:rFonts w:ascii="黑体" w:hAnsi="黑体" w:eastAsia="黑体" w:cs="黑体"/>
              </w:rPr>
            </w:pPr>
            <w:r>
              <w:rPr>
                <w:spacing w:val="-4"/>
              </w:rPr>
              <w:t>2021</w:t>
            </w:r>
            <w:r>
              <w:rPr>
                <w:spacing w:val="1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</w:rPr>
              <w:t>年</w:t>
            </w:r>
            <w:r>
              <w:rPr>
                <w:rFonts w:ascii="黑体" w:hAnsi="黑体" w:eastAsia="黑体" w:cs="黑体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</w:rPr>
              <w:t>高企总数</w:t>
            </w:r>
          </w:p>
        </w:tc>
        <w:tc>
          <w:tcPr>
            <w:tcW w:w="1545" w:type="dxa"/>
            <w:tcBorders>
              <w:top w:val="single" w:color="000000" w:sz="2" w:space="0"/>
            </w:tcBorders>
            <w:vAlign w:val="top"/>
          </w:tcPr>
          <w:p w14:paraId="796E4CDD">
            <w:pPr>
              <w:pStyle w:val="6"/>
              <w:spacing w:before="174" w:line="331" w:lineRule="auto"/>
              <w:ind w:left="226" w:right="206" w:firstLine="92"/>
              <w:rPr>
                <w:rFonts w:ascii="黑体" w:hAnsi="黑体" w:eastAsia="黑体" w:cs="黑体"/>
              </w:rPr>
            </w:pPr>
            <w:r>
              <w:rPr>
                <w:spacing w:val="-4"/>
              </w:rPr>
              <w:t>2022</w:t>
            </w:r>
            <w:r>
              <w:rPr>
                <w:spacing w:val="1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</w:rPr>
              <w:t>年</w:t>
            </w:r>
            <w:r>
              <w:rPr>
                <w:rFonts w:ascii="黑体" w:hAnsi="黑体" w:eastAsia="黑体" w:cs="黑体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</w:rPr>
              <w:t>高企总数</w:t>
            </w:r>
          </w:p>
        </w:tc>
        <w:tc>
          <w:tcPr>
            <w:tcW w:w="1545" w:type="dxa"/>
            <w:tcBorders>
              <w:top w:val="single" w:color="000000" w:sz="2" w:space="0"/>
            </w:tcBorders>
            <w:vAlign w:val="top"/>
          </w:tcPr>
          <w:p w14:paraId="2A023182">
            <w:pPr>
              <w:pStyle w:val="6"/>
              <w:spacing w:before="174" w:line="331" w:lineRule="auto"/>
              <w:ind w:left="227" w:right="205" w:firstLine="92"/>
              <w:rPr>
                <w:rFonts w:ascii="黑体" w:hAnsi="黑体" w:eastAsia="黑体" w:cs="黑体"/>
              </w:rPr>
            </w:pPr>
            <w:r>
              <w:rPr>
                <w:spacing w:val="-4"/>
              </w:rPr>
              <w:t>2023</w:t>
            </w:r>
            <w:r>
              <w:rPr>
                <w:spacing w:val="1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</w:rPr>
              <w:t>年</w:t>
            </w:r>
            <w:r>
              <w:rPr>
                <w:rFonts w:ascii="黑体" w:hAnsi="黑体" w:eastAsia="黑体" w:cs="黑体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</w:rPr>
              <w:t>高企总数</w:t>
            </w:r>
          </w:p>
        </w:tc>
        <w:tc>
          <w:tcPr>
            <w:tcW w:w="1545" w:type="dxa"/>
            <w:tcBorders>
              <w:top w:val="single" w:color="000000" w:sz="2" w:space="0"/>
            </w:tcBorders>
            <w:vAlign w:val="top"/>
          </w:tcPr>
          <w:p w14:paraId="06556833">
            <w:pPr>
              <w:pStyle w:val="6"/>
              <w:spacing w:before="174" w:line="331" w:lineRule="auto"/>
              <w:ind w:left="227" w:right="204" w:firstLine="92"/>
              <w:rPr>
                <w:rFonts w:ascii="黑体" w:hAnsi="黑体" w:eastAsia="黑体" w:cs="黑体"/>
              </w:rPr>
            </w:pPr>
            <w:r>
              <w:rPr>
                <w:spacing w:val="-4"/>
              </w:rPr>
              <w:t>2024</w:t>
            </w:r>
            <w:r>
              <w:rPr>
                <w:spacing w:val="15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</w:rPr>
              <w:t>年</w:t>
            </w:r>
            <w:r>
              <w:rPr>
                <w:rFonts w:ascii="黑体" w:hAnsi="黑体" w:eastAsia="黑体" w:cs="黑体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</w:rPr>
              <w:t>高企总数</w:t>
            </w:r>
          </w:p>
        </w:tc>
        <w:tc>
          <w:tcPr>
            <w:tcW w:w="1560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7D91F53B">
            <w:pPr>
              <w:pStyle w:val="6"/>
              <w:spacing w:before="174" w:line="331" w:lineRule="auto"/>
              <w:ind w:left="228" w:right="221" w:firstLine="92"/>
              <w:rPr>
                <w:rFonts w:ascii="黑体" w:hAnsi="黑体" w:eastAsia="黑体" w:cs="黑体"/>
              </w:rPr>
            </w:pPr>
            <w:r>
              <w:rPr>
                <w:spacing w:val="-4"/>
              </w:rPr>
              <w:t>2025</w:t>
            </w:r>
            <w:r>
              <w:rPr>
                <w:spacing w:val="15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</w:rPr>
              <w:t>年</w:t>
            </w:r>
            <w:r>
              <w:rPr>
                <w:rFonts w:ascii="黑体" w:hAnsi="黑体" w:eastAsia="黑体" w:cs="黑体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</w:rPr>
              <w:t>高企总数</w:t>
            </w:r>
          </w:p>
        </w:tc>
      </w:tr>
      <w:tr w14:paraId="5FA00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478" w:type="dxa"/>
            <w:tcBorders>
              <w:left w:val="single" w:color="000000" w:sz="2" w:space="0"/>
            </w:tcBorders>
            <w:vAlign w:val="top"/>
          </w:tcPr>
          <w:p w14:paraId="3118BA35">
            <w:pPr>
              <w:spacing w:before="206" w:line="219" w:lineRule="auto"/>
              <w:ind w:left="55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枞阳县政府</w:t>
            </w:r>
          </w:p>
        </w:tc>
        <w:tc>
          <w:tcPr>
            <w:tcW w:w="1544" w:type="dxa"/>
            <w:vAlign w:val="top"/>
          </w:tcPr>
          <w:p w14:paraId="2EC653A6">
            <w:pPr>
              <w:pStyle w:val="6"/>
              <w:spacing w:before="252" w:line="189" w:lineRule="auto"/>
              <w:ind w:left="657"/>
            </w:pPr>
            <w:r>
              <w:rPr>
                <w:spacing w:val="-16"/>
              </w:rPr>
              <w:t>12</w:t>
            </w:r>
          </w:p>
        </w:tc>
        <w:tc>
          <w:tcPr>
            <w:tcW w:w="1545" w:type="dxa"/>
            <w:vAlign w:val="top"/>
          </w:tcPr>
          <w:p w14:paraId="7616FDF7">
            <w:pPr>
              <w:pStyle w:val="6"/>
              <w:spacing w:before="251" w:line="189" w:lineRule="auto"/>
              <w:ind w:left="659"/>
            </w:pPr>
            <w:r>
              <w:rPr>
                <w:spacing w:val="-16"/>
              </w:rPr>
              <w:t>16</w:t>
            </w:r>
          </w:p>
        </w:tc>
        <w:tc>
          <w:tcPr>
            <w:tcW w:w="1545" w:type="dxa"/>
            <w:vAlign w:val="top"/>
          </w:tcPr>
          <w:p w14:paraId="5D0DC0CC">
            <w:pPr>
              <w:pStyle w:val="6"/>
              <w:spacing w:before="251" w:line="189" w:lineRule="auto"/>
              <w:ind w:left="633"/>
            </w:pPr>
            <w:r>
              <w:rPr>
                <w:spacing w:val="-2"/>
              </w:rPr>
              <w:t>20</w:t>
            </w:r>
          </w:p>
        </w:tc>
        <w:tc>
          <w:tcPr>
            <w:tcW w:w="1545" w:type="dxa"/>
            <w:vAlign w:val="top"/>
          </w:tcPr>
          <w:p w14:paraId="7C484355">
            <w:pPr>
              <w:pStyle w:val="6"/>
              <w:spacing w:before="252" w:line="189" w:lineRule="auto"/>
              <w:ind w:left="633"/>
            </w:pPr>
            <w:r>
              <w:rPr>
                <w:spacing w:val="-2"/>
              </w:rPr>
              <w:t>24</w:t>
            </w:r>
          </w:p>
        </w:tc>
        <w:tc>
          <w:tcPr>
            <w:tcW w:w="1545" w:type="dxa"/>
            <w:vAlign w:val="top"/>
          </w:tcPr>
          <w:p w14:paraId="119B939F">
            <w:pPr>
              <w:pStyle w:val="6"/>
              <w:spacing w:before="251" w:line="189" w:lineRule="auto"/>
              <w:ind w:left="634"/>
            </w:pPr>
            <w:r>
              <w:rPr>
                <w:spacing w:val="-2"/>
              </w:rPr>
              <w:t>28</w:t>
            </w:r>
          </w:p>
        </w:tc>
        <w:tc>
          <w:tcPr>
            <w:tcW w:w="1545" w:type="dxa"/>
            <w:vAlign w:val="top"/>
          </w:tcPr>
          <w:p w14:paraId="472C6FEE">
            <w:pPr>
              <w:pStyle w:val="6"/>
              <w:spacing w:before="251" w:line="189" w:lineRule="auto"/>
              <w:ind w:left="640"/>
            </w:pPr>
            <w:r>
              <w:rPr>
                <w:spacing w:val="-5"/>
              </w:rPr>
              <w:t>32</w:t>
            </w:r>
          </w:p>
        </w:tc>
        <w:tc>
          <w:tcPr>
            <w:tcW w:w="1560" w:type="dxa"/>
            <w:tcBorders>
              <w:right w:val="single" w:color="000000" w:sz="2" w:space="0"/>
            </w:tcBorders>
            <w:vAlign w:val="top"/>
          </w:tcPr>
          <w:p w14:paraId="1E220715">
            <w:pPr>
              <w:pStyle w:val="6"/>
              <w:spacing w:before="251" w:line="189" w:lineRule="auto"/>
              <w:ind w:left="641"/>
            </w:pPr>
            <w:r>
              <w:rPr>
                <w:spacing w:val="-5"/>
              </w:rPr>
              <w:t>35</w:t>
            </w:r>
          </w:p>
        </w:tc>
      </w:tr>
      <w:tr w14:paraId="100C7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478" w:type="dxa"/>
            <w:tcBorders>
              <w:left w:val="single" w:color="000000" w:sz="2" w:space="0"/>
            </w:tcBorders>
            <w:vAlign w:val="top"/>
          </w:tcPr>
          <w:p w14:paraId="08290F02">
            <w:pPr>
              <w:spacing w:before="207" w:line="219" w:lineRule="auto"/>
              <w:ind w:left="54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铜官区政府</w:t>
            </w:r>
          </w:p>
        </w:tc>
        <w:tc>
          <w:tcPr>
            <w:tcW w:w="1544" w:type="dxa"/>
            <w:vAlign w:val="top"/>
          </w:tcPr>
          <w:p w14:paraId="7163810C">
            <w:pPr>
              <w:pStyle w:val="6"/>
              <w:spacing w:before="253" w:line="189" w:lineRule="auto"/>
              <w:ind w:left="637"/>
            </w:pPr>
            <w:r>
              <w:rPr>
                <w:spacing w:val="-5"/>
              </w:rPr>
              <w:t>65</w:t>
            </w:r>
          </w:p>
        </w:tc>
        <w:tc>
          <w:tcPr>
            <w:tcW w:w="1545" w:type="dxa"/>
            <w:vAlign w:val="top"/>
          </w:tcPr>
          <w:p w14:paraId="1A5D2CC0">
            <w:pPr>
              <w:pStyle w:val="6"/>
              <w:spacing w:before="257" w:line="186" w:lineRule="auto"/>
              <w:ind w:left="637"/>
            </w:pPr>
            <w:r>
              <w:rPr>
                <w:spacing w:val="-5"/>
              </w:rPr>
              <w:t>77</w:t>
            </w:r>
          </w:p>
        </w:tc>
        <w:tc>
          <w:tcPr>
            <w:tcW w:w="1545" w:type="dxa"/>
            <w:vAlign w:val="top"/>
          </w:tcPr>
          <w:p w14:paraId="3F125230">
            <w:pPr>
              <w:pStyle w:val="6"/>
              <w:spacing w:before="253" w:line="189" w:lineRule="auto"/>
              <w:ind w:left="644"/>
            </w:pPr>
            <w:r>
              <w:rPr>
                <w:spacing w:val="-8"/>
              </w:rPr>
              <w:t>89</w:t>
            </w:r>
          </w:p>
        </w:tc>
        <w:tc>
          <w:tcPr>
            <w:tcW w:w="1545" w:type="dxa"/>
            <w:vAlign w:val="top"/>
          </w:tcPr>
          <w:p w14:paraId="2E76762A">
            <w:pPr>
              <w:pStyle w:val="6"/>
              <w:spacing w:before="253" w:line="189" w:lineRule="auto"/>
              <w:ind w:left="591"/>
            </w:pPr>
            <w:r>
              <w:rPr>
                <w:spacing w:val="-11"/>
              </w:rPr>
              <w:t>101</w:t>
            </w:r>
          </w:p>
        </w:tc>
        <w:tc>
          <w:tcPr>
            <w:tcW w:w="1545" w:type="dxa"/>
            <w:vAlign w:val="top"/>
          </w:tcPr>
          <w:p w14:paraId="09A7437E">
            <w:pPr>
              <w:pStyle w:val="6"/>
              <w:spacing w:before="253" w:line="189" w:lineRule="auto"/>
              <w:ind w:left="596"/>
            </w:pPr>
            <w:r>
              <w:rPr>
                <w:spacing w:val="-13"/>
              </w:rPr>
              <w:t>113</w:t>
            </w:r>
          </w:p>
        </w:tc>
        <w:tc>
          <w:tcPr>
            <w:tcW w:w="1545" w:type="dxa"/>
            <w:vAlign w:val="top"/>
          </w:tcPr>
          <w:p w14:paraId="472FD0A8">
            <w:pPr>
              <w:pStyle w:val="6"/>
              <w:spacing w:before="253" w:line="189" w:lineRule="auto"/>
              <w:ind w:left="592"/>
            </w:pPr>
            <w:r>
              <w:rPr>
                <w:spacing w:val="-11"/>
              </w:rPr>
              <w:t>125</w:t>
            </w:r>
          </w:p>
        </w:tc>
        <w:tc>
          <w:tcPr>
            <w:tcW w:w="1560" w:type="dxa"/>
            <w:tcBorders>
              <w:right w:val="single" w:color="000000" w:sz="2" w:space="0"/>
            </w:tcBorders>
            <w:vAlign w:val="top"/>
          </w:tcPr>
          <w:p w14:paraId="6713D0AB">
            <w:pPr>
              <w:pStyle w:val="6"/>
              <w:spacing w:before="253" w:line="189" w:lineRule="auto"/>
              <w:ind w:left="592"/>
            </w:pPr>
            <w:r>
              <w:rPr>
                <w:spacing w:val="-11"/>
              </w:rPr>
              <w:t>136</w:t>
            </w:r>
          </w:p>
        </w:tc>
      </w:tr>
      <w:tr w14:paraId="359A3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478" w:type="dxa"/>
            <w:tcBorders>
              <w:left w:val="single" w:color="000000" w:sz="2" w:space="0"/>
            </w:tcBorders>
            <w:vAlign w:val="top"/>
          </w:tcPr>
          <w:p w14:paraId="3233CFBE">
            <w:pPr>
              <w:spacing w:before="206" w:line="219" w:lineRule="auto"/>
              <w:ind w:left="56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义安区政府</w:t>
            </w:r>
          </w:p>
        </w:tc>
        <w:tc>
          <w:tcPr>
            <w:tcW w:w="1544" w:type="dxa"/>
            <w:vAlign w:val="top"/>
          </w:tcPr>
          <w:p w14:paraId="372978B8">
            <w:pPr>
              <w:pStyle w:val="6"/>
              <w:spacing w:before="254" w:line="189" w:lineRule="auto"/>
              <w:ind w:left="629"/>
            </w:pPr>
            <w:r>
              <w:rPr>
                <w:spacing w:val="-2"/>
              </w:rPr>
              <w:t>49</w:t>
            </w:r>
          </w:p>
        </w:tc>
        <w:tc>
          <w:tcPr>
            <w:tcW w:w="1545" w:type="dxa"/>
            <w:vAlign w:val="top"/>
          </w:tcPr>
          <w:p w14:paraId="39C3EECA">
            <w:pPr>
              <w:pStyle w:val="6"/>
              <w:spacing w:before="254" w:line="189" w:lineRule="auto"/>
              <w:ind w:left="640"/>
            </w:pPr>
            <w:r>
              <w:rPr>
                <w:spacing w:val="-6"/>
              </w:rPr>
              <w:t>58</w:t>
            </w:r>
          </w:p>
        </w:tc>
        <w:tc>
          <w:tcPr>
            <w:tcW w:w="1545" w:type="dxa"/>
            <w:vAlign w:val="top"/>
          </w:tcPr>
          <w:p w14:paraId="79834D19">
            <w:pPr>
              <w:pStyle w:val="6"/>
              <w:spacing w:before="254" w:line="189" w:lineRule="auto"/>
              <w:ind w:left="639"/>
            </w:pPr>
            <w:r>
              <w:rPr>
                <w:spacing w:val="-5"/>
              </w:rPr>
              <w:t>66</w:t>
            </w:r>
          </w:p>
        </w:tc>
        <w:tc>
          <w:tcPr>
            <w:tcW w:w="1545" w:type="dxa"/>
            <w:vAlign w:val="top"/>
          </w:tcPr>
          <w:p w14:paraId="46A37E5A">
            <w:pPr>
              <w:pStyle w:val="6"/>
              <w:spacing w:before="254" w:line="189" w:lineRule="auto"/>
              <w:ind w:left="638"/>
            </w:pPr>
            <w:r>
              <w:rPr>
                <w:spacing w:val="-5"/>
              </w:rPr>
              <w:t>74</w:t>
            </w:r>
          </w:p>
        </w:tc>
        <w:tc>
          <w:tcPr>
            <w:tcW w:w="1545" w:type="dxa"/>
            <w:vAlign w:val="top"/>
          </w:tcPr>
          <w:p w14:paraId="3D5C4CA2">
            <w:pPr>
              <w:pStyle w:val="6"/>
              <w:spacing w:before="254" w:line="189" w:lineRule="auto"/>
              <w:ind w:left="645"/>
            </w:pPr>
            <w:r>
              <w:rPr>
                <w:spacing w:val="-8"/>
              </w:rPr>
              <w:t>82</w:t>
            </w:r>
          </w:p>
        </w:tc>
        <w:tc>
          <w:tcPr>
            <w:tcW w:w="1545" w:type="dxa"/>
            <w:vAlign w:val="top"/>
          </w:tcPr>
          <w:p w14:paraId="4AEA9CE9">
            <w:pPr>
              <w:pStyle w:val="6"/>
              <w:spacing w:before="254" w:line="189" w:lineRule="auto"/>
              <w:ind w:left="640"/>
            </w:pPr>
            <w:r>
              <w:rPr>
                <w:spacing w:val="-5"/>
              </w:rPr>
              <w:t>90</w:t>
            </w:r>
          </w:p>
        </w:tc>
        <w:tc>
          <w:tcPr>
            <w:tcW w:w="1560" w:type="dxa"/>
            <w:tcBorders>
              <w:right w:val="single" w:color="000000" w:sz="2" w:space="0"/>
            </w:tcBorders>
            <w:vAlign w:val="top"/>
          </w:tcPr>
          <w:p w14:paraId="0A71BB72">
            <w:pPr>
              <w:pStyle w:val="6"/>
              <w:spacing w:before="254" w:line="189" w:lineRule="auto"/>
              <w:ind w:left="640"/>
            </w:pPr>
            <w:r>
              <w:rPr>
                <w:spacing w:val="-5"/>
              </w:rPr>
              <w:t>97</w:t>
            </w:r>
          </w:p>
        </w:tc>
      </w:tr>
      <w:tr w14:paraId="48F6E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478" w:type="dxa"/>
            <w:tcBorders>
              <w:left w:val="single" w:color="000000" w:sz="2" w:space="0"/>
            </w:tcBorders>
            <w:vAlign w:val="top"/>
          </w:tcPr>
          <w:p w14:paraId="41FC14C7">
            <w:pPr>
              <w:spacing w:before="208" w:line="216" w:lineRule="auto"/>
              <w:ind w:left="69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郊区政府</w:t>
            </w:r>
          </w:p>
        </w:tc>
        <w:tc>
          <w:tcPr>
            <w:tcW w:w="1544" w:type="dxa"/>
            <w:vAlign w:val="top"/>
          </w:tcPr>
          <w:p w14:paraId="246A7DCA">
            <w:pPr>
              <w:pStyle w:val="6"/>
              <w:spacing w:before="253" w:line="189" w:lineRule="auto"/>
              <w:ind w:left="657"/>
            </w:pPr>
            <w:r>
              <w:rPr>
                <w:spacing w:val="-16"/>
              </w:rPr>
              <w:t>19</w:t>
            </w:r>
          </w:p>
        </w:tc>
        <w:tc>
          <w:tcPr>
            <w:tcW w:w="1545" w:type="dxa"/>
            <w:vAlign w:val="top"/>
          </w:tcPr>
          <w:p w14:paraId="450B1D16">
            <w:pPr>
              <w:pStyle w:val="6"/>
              <w:spacing w:before="253" w:line="189" w:lineRule="auto"/>
              <w:ind w:left="632"/>
            </w:pPr>
            <w:r>
              <w:rPr>
                <w:spacing w:val="-2"/>
              </w:rPr>
              <w:t>23</w:t>
            </w:r>
          </w:p>
        </w:tc>
        <w:tc>
          <w:tcPr>
            <w:tcW w:w="1545" w:type="dxa"/>
            <w:vAlign w:val="top"/>
          </w:tcPr>
          <w:p w14:paraId="18705A12">
            <w:pPr>
              <w:pStyle w:val="6"/>
              <w:spacing w:before="253" w:line="189" w:lineRule="auto"/>
              <w:ind w:left="633"/>
            </w:pPr>
            <w:r>
              <w:rPr>
                <w:spacing w:val="-2"/>
              </w:rPr>
              <w:t>27</w:t>
            </w:r>
          </w:p>
        </w:tc>
        <w:tc>
          <w:tcPr>
            <w:tcW w:w="1545" w:type="dxa"/>
            <w:vAlign w:val="top"/>
          </w:tcPr>
          <w:p w14:paraId="2C2C44DF">
            <w:pPr>
              <w:pStyle w:val="6"/>
              <w:spacing w:before="253" w:line="189" w:lineRule="auto"/>
              <w:ind w:left="639"/>
            </w:pPr>
            <w:r>
              <w:rPr>
                <w:spacing w:val="-5"/>
              </w:rPr>
              <w:t>31</w:t>
            </w:r>
          </w:p>
        </w:tc>
        <w:tc>
          <w:tcPr>
            <w:tcW w:w="1545" w:type="dxa"/>
            <w:vAlign w:val="top"/>
          </w:tcPr>
          <w:p w14:paraId="4BB69272">
            <w:pPr>
              <w:pStyle w:val="6"/>
              <w:spacing w:before="253" w:line="189" w:lineRule="auto"/>
              <w:ind w:left="640"/>
            </w:pPr>
            <w:r>
              <w:rPr>
                <w:spacing w:val="-5"/>
              </w:rPr>
              <w:t>35</w:t>
            </w:r>
          </w:p>
        </w:tc>
        <w:tc>
          <w:tcPr>
            <w:tcW w:w="1545" w:type="dxa"/>
            <w:vAlign w:val="top"/>
          </w:tcPr>
          <w:p w14:paraId="3A28D084">
            <w:pPr>
              <w:pStyle w:val="6"/>
              <w:spacing w:before="253" w:line="189" w:lineRule="auto"/>
              <w:ind w:left="640"/>
            </w:pPr>
            <w:r>
              <w:rPr>
                <w:spacing w:val="-5"/>
              </w:rPr>
              <w:t>39</w:t>
            </w:r>
          </w:p>
        </w:tc>
        <w:tc>
          <w:tcPr>
            <w:tcW w:w="1560" w:type="dxa"/>
            <w:tcBorders>
              <w:right w:val="single" w:color="000000" w:sz="2" w:space="0"/>
            </w:tcBorders>
            <w:vAlign w:val="top"/>
          </w:tcPr>
          <w:p w14:paraId="56D8047A">
            <w:pPr>
              <w:pStyle w:val="6"/>
              <w:spacing w:before="253" w:line="189" w:lineRule="auto"/>
              <w:ind w:left="634"/>
            </w:pPr>
            <w:r>
              <w:rPr>
                <w:spacing w:val="-2"/>
              </w:rPr>
              <w:t>42</w:t>
            </w:r>
          </w:p>
        </w:tc>
      </w:tr>
      <w:tr w14:paraId="540E0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478" w:type="dxa"/>
            <w:tcBorders>
              <w:left w:val="single" w:color="000000" w:sz="2" w:space="0"/>
            </w:tcBorders>
            <w:vAlign w:val="top"/>
          </w:tcPr>
          <w:p w14:paraId="4C158366">
            <w:pPr>
              <w:spacing w:before="210" w:line="218" w:lineRule="auto"/>
              <w:ind w:left="1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铜陵经开区管委会</w:t>
            </w:r>
          </w:p>
        </w:tc>
        <w:tc>
          <w:tcPr>
            <w:tcW w:w="1544" w:type="dxa"/>
            <w:vAlign w:val="top"/>
          </w:tcPr>
          <w:p w14:paraId="39D10A99">
            <w:pPr>
              <w:pStyle w:val="6"/>
              <w:spacing w:before="255" w:line="189" w:lineRule="auto"/>
              <w:ind w:left="635"/>
            </w:pPr>
            <w:r>
              <w:rPr>
                <w:spacing w:val="-5"/>
              </w:rPr>
              <w:t>70</w:t>
            </w:r>
          </w:p>
        </w:tc>
        <w:tc>
          <w:tcPr>
            <w:tcW w:w="1545" w:type="dxa"/>
            <w:vAlign w:val="top"/>
          </w:tcPr>
          <w:p w14:paraId="233F0384">
            <w:pPr>
              <w:pStyle w:val="6"/>
              <w:spacing w:before="255" w:line="189" w:lineRule="auto"/>
              <w:ind w:left="643"/>
            </w:pPr>
            <w:r>
              <w:rPr>
                <w:spacing w:val="-8"/>
              </w:rPr>
              <w:t>81</w:t>
            </w:r>
          </w:p>
        </w:tc>
        <w:tc>
          <w:tcPr>
            <w:tcW w:w="1545" w:type="dxa"/>
            <w:vAlign w:val="top"/>
          </w:tcPr>
          <w:p w14:paraId="67649982">
            <w:pPr>
              <w:pStyle w:val="6"/>
              <w:spacing w:before="255" w:line="189" w:lineRule="auto"/>
              <w:ind w:left="638"/>
            </w:pPr>
            <w:r>
              <w:rPr>
                <w:spacing w:val="-5"/>
              </w:rPr>
              <w:t>93</w:t>
            </w:r>
          </w:p>
        </w:tc>
        <w:tc>
          <w:tcPr>
            <w:tcW w:w="1545" w:type="dxa"/>
            <w:vAlign w:val="top"/>
          </w:tcPr>
          <w:p w14:paraId="48BD38CD">
            <w:pPr>
              <w:pStyle w:val="6"/>
              <w:spacing w:before="255" w:line="189" w:lineRule="auto"/>
              <w:ind w:left="591"/>
            </w:pPr>
            <w:r>
              <w:rPr>
                <w:spacing w:val="-11"/>
              </w:rPr>
              <w:t>105</w:t>
            </w:r>
          </w:p>
        </w:tc>
        <w:tc>
          <w:tcPr>
            <w:tcW w:w="1545" w:type="dxa"/>
            <w:vAlign w:val="top"/>
          </w:tcPr>
          <w:p w14:paraId="7BECF0B0">
            <w:pPr>
              <w:pStyle w:val="6"/>
              <w:spacing w:before="255" w:line="189" w:lineRule="auto"/>
              <w:ind w:left="596"/>
            </w:pPr>
            <w:r>
              <w:rPr>
                <w:spacing w:val="-13"/>
              </w:rPr>
              <w:t>117</w:t>
            </w:r>
          </w:p>
        </w:tc>
        <w:tc>
          <w:tcPr>
            <w:tcW w:w="1545" w:type="dxa"/>
            <w:vAlign w:val="top"/>
          </w:tcPr>
          <w:p w14:paraId="4FD5279B">
            <w:pPr>
              <w:pStyle w:val="6"/>
              <w:spacing w:before="255" w:line="189" w:lineRule="auto"/>
              <w:ind w:left="592"/>
            </w:pPr>
            <w:r>
              <w:rPr>
                <w:spacing w:val="-11"/>
              </w:rPr>
              <w:t>129</w:t>
            </w:r>
          </w:p>
        </w:tc>
        <w:tc>
          <w:tcPr>
            <w:tcW w:w="1560" w:type="dxa"/>
            <w:tcBorders>
              <w:right w:val="single" w:color="000000" w:sz="2" w:space="0"/>
            </w:tcBorders>
            <w:vAlign w:val="top"/>
          </w:tcPr>
          <w:p w14:paraId="02CB1E10">
            <w:pPr>
              <w:pStyle w:val="6"/>
              <w:spacing w:before="255" w:line="189" w:lineRule="auto"/>
              <w:ind w:left="592"/>
            </w:pPr>
            <w:r>
              <w:rPr>
                <w:spacing w:val="-11"/>
              </w:rPr>
              <w:t>140</w:t>
            </w:r>
          </w:p>
        </w:tc>
      </w:tr>
      <w:tr w14:paraId="6DFB1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2478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5CCED250">
            <w:pPr>
              <w:spacing w:before="210" w:line="223" w:lineRule="auto"/>
              <w:ind w:left="76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总</w:t>
            </w:r>
            <w:r>
              <w:rPr>
                <w:rFonts w:ascii="黑体" w:hAnsi="黑体" w:eastAsia="黑体" w:cs="黑体"/>
                <w:spacing w:val="3"/>
                <w:sz w:val="28"/>
                <w:szCs w:val="28"/>
              </w:rPr>
              <w:t xml:space="preserve">   </w:t>
            </w: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数</w:t>
            </w:r>
          </w:p>
        </w:tc>
        <w:tc>
          <w:tcPr>
            <w:tcW w:w="1544" w:type="dxa"/>
            <w:tcBorders>
              <w:bottom w:val="single" w:color="000000" w:sz="2" w:space="0"/>
            </w:tcBorders>
            <w:vAlign w:val="top"/>
          </w:tcPr>
          <w:p w14:paraId="5E343D6C">
            <w:pPr>
              <w:pStyle w:val="6"/>
              <w:spacing w:before="256" w:line="189" w:lineRule="auto"/>
              <w:ind w:left="561"/>
            </w:pPr>
            <w:r>
              <w:rPr>
                <w:spacing w:val="-2"/>
              </w:rPr>
              <w:t>215</w:t>
            </w:r>
          </w:p>
        </w:tc>
        <w:tc>
          <w:tcPr>
            <w:tcW w:w="1545" w:type="dxa"/>
            <w:tcBorders>
              <w:bottom w:val="single" w:color="000000" w:sz="2" w:space="0"/>
            </w:tcBorders>
            <w:vAlign w:val="top"/>
          </w:tcPr>
          <w:p w14:paraId="236DD1D4">
            <w:pPr>
              <w:pStyle w:val="6"/>
              <w:spacing w:before="256" w:line="189" w:lineRule="auto"/>
              <w:ind w:left="562"/>
            </w:pPr>
            <w:r>
              <w:rPr>
                <w:spacing w:val="-2"/>
              </w:rPr>
              <w:t>255</w:t>
            </w:r>
          </w:p>
        </w:tc>
        <w:tc>
          <w:tcPr>
            <w:tcW w:w="1545" w:type="dxa"/>
            <w:tcBorders>
              <w:bottom w:val="single" w:color="000000" w:sz="2" w:space="0"/>
            </w:tcBorders>
            <w:vAlign w:val="top"/>
          </w:tcPr>
          <w:p w14:paraId="323A28F8">
            <w:pPr>
              <w:pStyle w:val="6"/>
              <w:spacing w:before="256" w:line="189" w:lineRule="auto"/>
              <w:ind w:left="563"/>
            </w:pPr>
            <w:r>
              <w:rPr>
                <w:spacing w:val="-2"/>
              </w:rPr>
              <w:t>295</w:t>
            </w:r>
          </w:p>
        </w:tc>
        <w:tc>
          <w:tcPr>
            <w:tcW w:w="1545" w:type="dxa"/>
            <w:tcBorders>
              <w:bottom w:val="single" w:color="000000" w:sz="2" w:space="0"/>
            </w:tcBorders>
            <w:vAlign w:val="top"/>
          </w:tcPr>
          <w:p w14:paraId="2FA5CC44">
            <w:pPr>
              <w:pStyle w:val="6"/>
              <w:spacing w:before="256" w:line="189" w:lineRule="auto"/>
              <w:ind w:left="569"/>
            </w:pPr>
            <w:r>
              <w:rPr>
                <w:spacing w:val="-4"/>
              </w:rPr>
              <w:t>335</w:t>
            </w:r>
          </w:p>
        </w:tc>
        <w:tc>
          <w:tcPr>
            <w:tcW w:w="1545" w:type="dxa"/>
            <w:tcBorders>
              <w:bottom w:val="single" w:color="000000" w:sz="2" w:space="0"/>
            </w:tcBorders>
            <w:vAlign w:val="top"/>
          </w:tcPr>
          <w:p w14:paraId="528FFD76">
            <w:pPr>
              <w:pStyle w:val="6"/>
              <w:spacing w:before="256" w:line="189" w:lineRule="auto"/>
              <w:ind w:left="570"/>
            </w:pPr>
            <w:r>
              <w:rPr>
                <w:spacing w:val="-4"/>
              </w:rPr>
              <w:t>375</w:t>
            </w:r>
          </w:p>
        </w:tc>
        <w:tc>
          <w:tcPr>
            <w:tcW w:w="1545" w:type="dxa"/>
            <w:tcBorders>
              <w:bottom w:val="single" w:color="000000" w:sz="2" w:space="0"/>
            </w:tcBorders>
            <w:vAlign w:val="top"/>
          </w:tcPr>
          <w:p w14:paraId="35835FB4">
            <w:pPr>
              <w:pStyle w:val="6"/>
              <w:spacing w:before="256" w:line="189" w:lineRule="auto"/>
              <w:ind w:left="563"/>
            </w:pPr>
            <w:r>
              <w:rPr>
                <w:spacing w:val="-1"/>
              </w:rPr>
              <w:t>415</w:t>
            </w:r>
          </w:p>
        </w:tc>
        <w:tc>
          <w:tcPr>
            <w:tcW w:w="1560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1A257CCC">
            <w:pPr>
              <w:pStyle w:val="6"/>
              <w:spacing w:before="256" w:line="189" w:lineRule="auto"/>
              <w:ind w:left="564"/>
            </w:pPr>
            <w:r>
              <w:rPr>
                <w:spacing w:val="-1"/>
              </w:rPr>
              <w:t>450</w:t>
            </w:r>
          </w:p>
        </w:tc>
      </w:tr>
    </w:tbl>
    <w:p w14:paraId="7BFA122C">
      <w:pPr>
        <w:rPr>
          <w:rFonts w:ascii="Arial"/>
          <w:sz w:val="21"/>
        </w:rPr>
      </w:pPr>
    </w:p>
    <w:p w14:paraId="552203FE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6839" w:h="11906"/>
          <w:pgMar w:top="1012" w:right="1540" w:bottom="1280" w:left="1984" w:header="0" w:footer="1004" w:gutter="0"/>
          <w:cols w:space="720" w:num="1"/>
        </w:sectPr>
      </w:pPr>
    </w:p>
    <w:p w14:paraId="2FBC267B">
      <w:pPr>
        <w:spacing w:before="4"/>
      </w:pPr>
    </w:p>
    <w:p w14:paraId="68448B58">
      <w:pPr>
        <w:spacing w:before="4"/>
      </w:pPr>
    </w:p>
    <w:p w14:paraId="2A40AE1B">
      <w:pPr>
        <w:spacing w:before="4"/>
      </w:pPr>
    </w:p>
    <w:p w14:paraId="11F1F884">
      <w:pPr>
        <w:spacing w:before="4"/>
      </w:pPr>
    </w:p>
    <w:p w14:paraId="7B4825B4">
      <w:pPr>
        <w:spacing w:before="4"/>
      </w:pPr>
    </w:p>
    <w:p w14:paraId="62D7B50F">
      <w:pPr>
        <w:spacing w:before="4"/>
      </w:pPr>
    </w:p>
    <w:p w14:paraId="251CFEAF">
      <w:pPr>
        <w:spacing w:before="4"/>
      </w:pPr>
    </w:p>
    <w:p w14:paraId="1696DC97">
      <w:pPr>
        <w:spacing w:before="4"/>
      </w:pPr>
    </w:p>
    <w:p w14:paraId="4D7D7AC7">
      <w:pPr>
        <w:spacing w:before="4"/>
      </w:pPr>
    </w:p>
    <w:p w14:paraId="37C0E458">
      <w:pPr>
        <w:spacing w:before="4"/>
      </w:pPr>
    </w:p>
    <w:p w14:paraId="52393AD4">
      <w:pPr>
        <w:spacing w:before="4"/>
      </w:pPr>
    </w:p>
    <w:p w14:paraId="7D2A7403">
      <w:pPr>
        <w:spacing w:before="4"/>
      </w:pPr>
    </w:p>
    <w:p w14:paraId="06054E55">
      <w:pPr>
        <w:spacing w:before="3"/>
      </w:pPr>
    </w:p>
    <w:p w14:paraId="457F2956">
      <w:pPr>
        <w:spacing w:before="3"/>
      </w:pPr>
    </w:p>
    <w:p w14:paraId="7FF386D9">
      <w:pPr>
        <w:spacing w:before="3"/>
      </w:pPr>
    </w:p>
    <w:p w14:paraId="21458B87">
      <w:pPr>
        <w:spacing w:before="3"/>
      </w:pPr>
    </w:p>
    <w:p w14:paraId="6140DE18">
      <w:pPr>
        <w:spacing w:before="3"/>
      </w:pPr>
    </w:p>
    <w:p w14:paraId="60561960">
      <w:pPr>
        <w:spacing w:before="3"/>
      </w:pPr>
    </w:p>
    <w:p w14:paraId="1B165407">
      <w:pPr>
        <w:spacing w:before="3"/>
      </w:pPr>
    </w:p>
    <w:p w14:paraId="6779F9C4">
      <w:pPr>
        <w:spacing w:before="3"/>
      </w:pPr>
    </w:p>
    <w:p w14:paraId="40A209FC">
      <w:pPr>
        <w:spacing w:before="3"/>
      </w:pPr>
    </w:p>
    <w:p w14:paraId="595A6604">
      <w:pPr>
        <w:spacing w:before="3"/>
      </w:pPr>
    </w:p>
    <w:p w14:paraId="3B265BE4">
      <w:pPr>
        <w:spacing w:before="3"/>
      </w:pPr>
    </w:p>
    <w:p w14:paraId="522F1BEA">
      <w:pPr>
        <w:spacing w:before="3"/>
      </w:pPr>
    </w:p>
    <w:p w14:paraId="598D80A9">
      <w:pPr>
        <w:spacing w:before="3"/>
      </w:pPr>
    </w:p>
    <w:p w14:paraId="49DCC0A4">
      <w:pPr>
        <w:spacing w:before="3"/>
      </w:pPr>
    </w:p>
    <w:p w14:paraId="15C4E5DF">
      <w:pPr>
        <w:spacing w:before="3"/>
      </w:pPr>
    </w:p>
    <w:p w14:paraId="1832ABA7">
      <w:pPr>
        <w:spacing w:before="3"/>
      </w:pPr>
    </w:p>
    <w:p w14:paraId="6A62C4F4">
      <w:pPr>
        <w:spacing w:before="3"/>
      </w:pPr>
    </w:p>
    <w:p w14:paraId="7D8BADBF">
      <w:pPr>
        <w:spacing w:before="3"/>
      </w:pPr>
    </w:p>
    <w:p w14:paraId="5CCE6B7B">
      <w:pPr>
        <w:spacing w:before="3"/>
      </w:pPr>
    </w:p>
    <w:p w14:paraId="3DBB323D">
      <w:pPr>
        <w:spacing w:before="3"/>
      </w:pPr>
    </w:p>
    <w:p w14:paraId="4A4065AE">
      <w:pPr>
        <w:spacing w:before="3"/>
      </w:pPr>
    </w:p>
    <w:p w14:paraId="21B295A9">
      <w:pPr>
        <w:spacing w:before="3"/>
      </w:pPr>
    </w:p>
    <w:p w14:paraId="1E823F12">
      <w:pPr>
        <w:spacing w:before="3"/>
      </w:pPr>
    </w:p>
    <w:p w14:paraId="5458C8E8">
      <w:pPr>
        <w:spacing w:before="3"/>
      </w:pPr>
    </w:p>
    <w:p w14:paraId="060FB75D">
      <w:pPr>
        <w:spacing w:before="3"/>
      </w:pPr>
    </w:p>
    <w:p w14:paraId="5153AF19">
      <w:pPr>
        <w:spacing w:before="3"/>
      </w:pPr>
    </w:p>
    <w:p w14:paraId="06BBCFD7">
      <w:pPr>
        <w:spacing w:before="3"/>
      </w:pPr>
    </w:p>
    <w:p w14:paraId="4B188B48">
      <w:pPr>
        <w:spacing w:before="3"/>
      </w:pPr>
    </w:p>
    <w:p w14:paraId="726E1021">
      <w:pPr>
        <w:spacing w:before="3"/>
      </w:pPr>
    </w:p>
    <w:p w14:paraId="05B1649D">
      <w:pPr>
        <w:spacing w:before="3"/>
      </w:pPr>
    </w:p>
    <w:p w14:paraId="07AB6D5A">
      <w:pPr>
        <w:spacing w:before="3"/>
      </w:pPr>
    </w:p>
    <w:p w14:paraId="770E0E04">
      <w:pPr>
        <w:spacing w:before="3"/>
      </w:pPr>
    </w:p>
    <w:p w14:paraId="6DC23C5B">
      <w:pPr>
        <w:spacing w:before="3"/>
      </w:pPr>
    </w:p>
    <w:p w14:paraId="2AFDA8D8">
      <w:pPr>
        <w:spacing w:before="3"/>
      </w:pPr>
    </w:p>
    <w:p w14:paraId="790896C3">
      <w:pPr>
        <w:spacing w:before="3"/>
      </w:pPr>
    </w:p>
    <w:p w14:paraId="4A9B5A00">
      <w:pPr>
        <w:spacing w:before="3"/>
      </w:pPr>
    </w:p>
    <w:p w14:paraId="0BCE181A">
      <w:pPr>
        <w:spacing w:before="3"/>
      </w:pPr>
    </w:p>
    <w:p w14:paraId="5A6B92A8">
      <w:pPr>
        <w:spacing w:before="3"/>
      </w:pPr>
    </w:p>
    <w:tbl>
      <w:tblPr>
        <w:tblStyle w:val="5"/>
        <w:tblW w:w="884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96"/>
        <w:gridCol w:w="4452"/>
      </w:tblGrid>
      <w:tr w14:paraId="724D5D0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848" w:type="dxa"/>
            <w:gridSpan w:val="2"/>
            <w:tcBorders>
              <w:top w:val="single" w:color="000000" w:sz="8" w:space="0"/>
              <w:bottom w:val="single" w:color="000000" w:sz="4" w:space="0"/>
            </w:tcBorders>
            <w:vAlign w:val="top"/>
          </w:tcPr>
          <w:p w14:paraId="73F41E50">
            <w:pPr>
              <w:spacing w:before="141" w:line="218" w:lineRule="auto"/>
              <w:ind w:left="348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抄送：市委办公室，市人大常委会办公室，市政协办公室。</w:t>
            </w:r>
          </w:p>
        </w:tc>
      </w:tr>
      <w:tr w14:paraId="77C5C3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396" w:type="dxa"/>
            <w:tcBorders>
              <w:top w:val="single" w:color="000000" w:sz="4" w:space="0"/>
              <w:bottom w:val="single" w:color="000000" w:sz="8" w:space="0"/>
            </w:tcBorders>
            <w:vAlign w:val="top"/>
          </w:tcPr>
          <w:p w14:paraId="1882AB58">
            <w:pPr>
              <w:spacing w:before="151" w:line="218" w:lineRule="auto"/>
              <w:ind w:left="31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铜陵市人民政府办公室</w:t>
            </w:r>
          </w:p>
        </w:tc>
        <w:tc>
          <w:tcPr>
            <w:tcW w:w="4452" w:type="dxa"/>
            <w:tcBorders>
              <w:top w:val="single" w:color="000000" w:sz="4" w:space="0"/>
              <w:bottom w:val="single" w:color="000000" w:sz="8" w:space="0"/>
            </w:tcBorders>
            <w:vAlign w:val="top"/>
          </w:tcPr>
          <w:p w14:paraId="4EBEC15B">
            <w:pPr>
              <w:pStyle w:val="6"/>
              <w:spacing w:before="152" w:line="217" w:lineRule="auto"/>
              <w:ind w:left="1439"/>
              <w:rPr>
                <w:rFonts w:ascii="仿宋" w:hAnsi="仿宋" w:eastAsia="仿宋" w:cs="仿宋"/>
              </w:rPr>
            </w:pPr>
            <w:r>
              <w:rPr>
                <w:spacing w:val="-9"/>
              </w:rPr>
              <w:t xml:space="preserve">2020 </w:t>
            </w:r>
            <w:r>
              <w:rPr>
                <w:rFonts w:ascii="仿宋" w:hAnsi="仿宋" w:eastAsia="仿宋" w:cs="仿宋"/>
                <w:spacing w:val="-9"/>
              </w:rPr>
              <w:t>年</w:t>
            </w:r>
            <w:r>
              <w:rPr>
                <w:rFonts w:ascii="仿宋" w:hAnsi="仿宋" w:eastAsia="仿宋" w:cs="仿宋"/>
                <w:spacing w:val="-65"/>
              </w:rPr>
              <w:t xml:space="preserve"> </w:t>
            </w:r>
            <w:r>
              <w:rPr>
                <w:spacing w:val="-9"/>
              </w:rPr>
              <w:t>4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</w:rPr>
              <w:t>月</w:t>
            </w:r>
            <w:r>
              <w:rPr>
                <w:rFonts w:ascii="仿宋" w:hAnsi="仿宋" w:eastAsia="仿宋" w:cs="仿宋"/>
                <w:spacing w:val="-70"/>
              </w:rPr>
              <w:t xml:space="preserve"> </w:t>
            </w:r>
            <w:r>
              <w:rPr>
                <w:spacing w:val="-9"/>
              </w:rPr>
              <w:t xml:space="preserve">26  </w:t>
            </w:r>
            <w:r>
              <w:rPr>
                <w:rFonts w:ascii="仿宋" w:hAnsi="仿宋" w:eastAsia="仿宋" w:cs="仿宋"/>
                <w:spacing w:val="-9"/>
              </w:rPr>
              <w:t>日印发</w:t>
            </w:r>
          </w:p>
        </w:tc>
      </w:tr>
    </w:tbl>
    <w:p w14:paraId="5852869F">
      <w:pPr>
        <w:spacing w:before="213" w:line="190" w:lineRule="exact"/>
        <w:ind w:left="328"/>
        <w:rPr>
          <w:rFonts w:ascii="宋体" w:hAnsi="宋体" w:eastAsia="宋体" w:cs="宋体"/>
          <w:sz w:val="28"/>
          <w:szCs w:val="28"/>
        </w:rPr>
      </w:pPr>
      <w:r>
        <w:pict>
          <v:shape id="_x0000_s1026" o:spid="_x0000_s1026" o:spt="202" type="#_x0000_t202" style="position:absolute;left:0pt;margin-left:36.55pt;margin-top:5.3pt;height:15.95pt;width:8.4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879A0CD">
                  <w:pPr>
                    <w:spacing w:before="20" w:line="183" w:lineRule="auto"/>
                    <w:ind w:left="20"/>
                    <w:rPr>
                      <w:rFonts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ascii="宋体" w:hAnsi="宋体" w:eastAsia="宋体" w:cs="宋体"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-4"/>
          <w:position w:val="-4"/>
          <w:sz w:val="28"/>
          <w:szCs w:val="28"/>
        </w:rPr>
        <w:t>—</w:t>
      </w:r>
      <w:r>
        <w:rPr>
          <w:rFonts w:ascii="宋体" w:hAnsi="宋体" w:eastAsia="宋体" w:cs="宋体"/>
          <w:spacing w:val="2"/>
          <w:position w:val="-4"/>
          <w:sz w:val="28"/>
          <w:szCs w:val="28"/>
        </w:rPr>
        <w:t xml:space="preserve">   </w:t>
      </w:r>
      <w:r>
        <w:rPr>
          <w:rFonts w:ascii="宋体" w:hAnsi="宋体" w:eastAsia="宋体" w:cs="宋体"/>
          <w:spacing w:val="-4"/>
          <w:position w:val="-4"/>
          <w:sz w:val="28"/>
          <w:szCs w:val="28"/>
        </w:rPr>
        <w:t>—</w:t>
      </w:r>
    </w:p>
    <w:sectPr>
      <w:footerReference r:id="rId12" w:type="default"/>
      <w:pgSz w:w="11906" w:h="16839"/>
      <w:pgMar w:top="1431" w:right="1526" w:bottom="400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C7381">
    <w:pPr>
      <w:spacing w:line="177" w:lineRule="auto"/>
      <w:ind w:left="755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3"/>
        <w:sz w:val="28"/>
        <w:szCs w:val="28"/>
      </w:rPr>
      <w:t>1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13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A06E9">
    <w:pPr>
      <w:spacing w:before="1" w:line="176" w:lineRule="auto"/>
      <w:ind w:left="32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FA9E5">
    <w:pPr>
      <w:spacing w:before="1" w:line="176" w:lineRule="auto"/>
      <w:ind w:left="754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3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DFB99">
    <w:pPr>
      <w:spacing w:before="1" w:line="176" w:lineRule="auto"/>
      <w:ind w:left="3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36D02">
    <w:pPr>
      <w:spacing w:line="175" w:lineRule="auto"/>
      <w:ind w:left="755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5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EE89B">
    <w:pPr>
      <w:spacing w:before="1" w:line="176" w:lineRule="auto"/>
      <w:ind w:left="32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EB19D">
    <w:pPr>
      <w:spacing w:line="175" w:lineRule="auto"/>
      <w:ind w:left="1203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—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8A0F1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708068E"/>
    <w:rsid w:val="534B69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1115</Words>
  <Characters>1172</Characters>
  <TotalTime>0</TotalTime>
  <ScaleCrop>false</ScaleCrop>
  <LinksUpToDate>false</LinksUpToDate>
  <CharactersWithSpaces>1258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2020-04-30T10:54:00Z</dcterms:created>
  <dc:creator>chendong</dc:creator>
  <cp:lastModifiedBy>TANG</cp:lastModifiedBy>
  <dcterms:modified xsi:type="dcterms:W3CDTF">2025-04-17T02:30:34Z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2025-04-17T10:28:43Z</vt:filetime>
  </property>
  <property fmtid="{D5CDD505-2E9C-101B-9397-08002B2CF9AE}" pid="4" name="KSOProductBuildVer">
    <vt:lpwstr>2052-12.1.0.20784</vt:lpwstr>
  </property>
  <property fmtid="{D5CDD505-2E9C-101B-9397-08002B2CF9AE}" pid="5" name="ICV">
    <vt:lpwstr>F2D3FF452A23423988A213F29DE59745_13</vt:lpwstr>
  </property>
</Properties>
</file>