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napToGrid w:val="0"/>
        <w:spacing w:line="580" w:lineRule="exact"/>
        <w:jc w:val="center"/>
        <w:rPr>
          <w:rFonts w:hint="eastAsia" w:ascii="方正小标宋简体" w:eastAsia="方正小标宋简体"/>
          <w:sz w:val="44"/>
          <w:szCs w:val="44"/>
        </w:rPr>
      </w:pPr>
      <w:bookmarkStart w:id="0" w:name="_GoBack"/>
      <w:r>
        <w:rPr>
          <w:rFonts w:hint="eastAsia" w:ascii="方正小标宋简体" w:eastAsia="方正小标宋简体"/>
          <w:sz w:val="44"/>
          <w:szCs w:val="44"/>
        </w:rPr>
        <w:t>安徽省收费公路车辆通行费计费方式调整方案</w:t>
      </w:r>
      <w:bookmarkEnd w:id="0"/>
    </w:p>
    <w:p>
      <w:pPr>
        <w:snapToGrid w:val="0"/>
        <w:spacing w:line="580" w:lineRule="exact"/>
        <w:jc w:val="center"/>
        <w:rPr>
          <w:rFonts w:hint="eastAsia" w:ascii="楷体_GB2312" w:eastAsia="楷体_GB2312"/>
          <w:sz w:val="32"/>
          <w:szCs w:val="32"/>
        </w:rPr>
      </w:pPr>
      <w:r>
        <w:rPr>
          <w:rFonts w:hint="eastAsia" w:ascii="楷体_GB2312" w:eastAsia="楷体_GB2312"/>
          <w:sz w:val="32"/>
          <w:szCs w:val="32"/>
        </w:rPr>
        <w:t>省交通运输厅 省发展改革委 省财政厅</w:t>
      </w:r>
    </w:p>
    <w:p>
      <w:pPr>
        <w:snapToGrid w:val="0"/>
        <w:spacing w:line="580" w:lineRule="exact"/>
        <w:jc w:val="center"/>
        <w:rPr>
          <w:rFonts w:hint="eastAsia" w:eastAsia="仿宋_GB2312"/>
          <w:sz w:val="32"/>
          <w:szCs w:val="32"/>
        </w:rPr>
      </w:pP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根据《国务院办公厅关于印发深化收费公路制度改革取消高速公路省界收费站实施方案的通知》（国办发〔2019〕23号）、《交通运输部、国家发展改革委、财政部关于切实做好货车通行费计费方式调整有关工作的通知》（交公路发〔2019〕93号）以及《交通运输部办公厅关于贯彻〈收费公路车辆通行费车型分类〉行业标准（JT/T 489—2019）有关问题的通知》（交办公路〔2019〕65号）等文件要求，制定如下调整方案。</w:t>
      </w:r>
    </w:p>
    <w:p>
      <w:pPr>
        <w:pStyle w:val="2"/>
        <w:spacing w:line="580" w:lineRule="exact"/>
        <w:rPr>
          <w:rFonts w:hint="eastAsia"/>
        </w:rPr>
      </w:pPr>
      <w:r>
        <w:rPr>
          <w:rFonts w:hint="eastAsia"/>
        </w:rPr>
        <w:t>一、高速公路收费标准</w:t>
      </w:r>
    </w:p>
    <w:p>
      <w:pPr>
        <w:pStyle w:val="3"/>
        <w:spacing w:line="580" w:lineRule="exact"/>
        <w:rPr>
          <w:rFonts w:hint="eastAsia"/>
        </w:rPr>
      </w:pPr>
      <w:r>
        <w:rPr>
          <w:rFonts w:hint="eastAsia"/>
        </w:rPr>
        <w:t>（一）高速公路客车收费标准</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沿用现行客车收费标准。按照《收费公路车辆通行费车型分类》关于客车车型分类的相关规定，将8、9座客车由“2类”调整为“1类”，执行1类客车收费标准。</w:t>
      </w:r>
    </w:p>
    <w:tbl>
      <w:tblPr>
        <w:tblW w:w="782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491"/>
        <w:gridCol w:w="2201"/>
        <w:gridCol w:w="2064"/>
      </w:tblGrid>
      <w:tr>
        <w:tc>
          <w:tcPr>
            <w:tcW w:w="1072" w:type="dxa"/>
            <w:vAlign w:val="center"/>
          </w:tcPr>
          <w:p>
            <w:pPr>
              <w:spacing w:line="580" w:lineRule="exact"/>
              <w:jc w:val="center"/>
              <w:rPr>
                <w:rFonts w:hint="eastAsia" w:ascii="黑体" w:hAnsi="黑体" w:eastAsia="黑体"/>
                <w:sz w:val="24"/>
              </w:rPr>
            </w:pPr>
            <w:r>
              <w:rPr>
                <w:rFonts w:hint="eastAsia" w:ascii="黑体" w:hAnsi="黑体" w:eastAsia="黑体"/>
                <w:sz w:val="24"/>
              </w:rPr>
              <w:t>类别</w:t>
            </w:r>
          </w:p>
        </w:tc>
        <w:tc>
          <w:tcPr>
            <w:tcW w:w="2491" w:type="dxa"/>
            <w:vAlign w:val="center"/>
          </w:tcPr>
          <w:p>
            <w:pPr>
              <w:spacing w:line="580" w:lineRule="exact"/>
              <w:jc w:val="center"/>
              <w:rPr>
                <w:rFonts w:hint="eastAsia" w:ascii="黑体" w:hAnsi="黑体" w:eastAsia="黑体"/>
                <w:sz w:val="24"/>
              </w:rPr>
            </w:pPr>
            <w:r>
              <w:rPr>
                <w:rFonts w:hint="eastAsia" w:ascii="黑体" w:hAnsi="黑体" w:eastAsia="黑体"/>
                <w:sz w:val="24"/>
              </w:rPr>
              <w:t>车辆类型</w:t>
            </w:r>
          </w:p>
        </w:tc>
        <w:tc>
          <w:tcPr>
            <w:tcW w:w="2201" w:type="dxa"/>
            <w:vAlign w:val="center"/>
          </w:tcPr>
          <w:p>
            <w:pPr>
              <w:spacing w:line="580" w:lineRule="exact"/>
              <w:jc w:val="center"/>
              <w:rPr>
                <w:rFonts w:hint="eastAsia" w:ascii="黑体" w:hAnsi="黑体" w:eastAsia="黑体"/>
                <w:sz w:val="24"/>
              </w:rPr>
            </w:pPr>
            <w:r>
              <w:rPr>
                <w:rFonts w:hint="eastAsia" w:ascii="黑体" w:hAnsi="黑体" w:eastAsia="黑体"/>
                <w:sz w:val="24"/>
              </w:rPr>
              <w:t>核定载人数</w:t>
            </w:r>
          </w:p>
        </w:tc>
        <w:tc>
          <w:tcPr>
            <w:tcW w:w="2064" w:type="dxa"/>
            <w:vAlign w:val="center"/>
          </w:tcPr>
          <w:p>
            <w:pPr>
              <w:spacing w:line="580" w:lineRule="exact"/>
              <w:jc w:val="center"/>
              <w:rPr>
                <w:rFonts w:hint="eastAsia" w:ascii="黑体" w:hAnsi="黑体" w:eastAsia="黑体"/>
                <w:sz w:val="24"/>
              </w:rPr>
            </w:pPr>
            <w:r>
              <w:rPr>
                <w:rFonts w:hint="eastAsia" w:ascii="黑体" w:hAnsi="黑体" w:eastAsia="黑体"/>
                <w:sz w:val="24"/>
              </w:rPr>
              <w:t>收费标准</w:t>
            </w:r>
          </w:p>
          <w:p>
            <w:pPr>
              <w:spacing w:line="580" w:lineRule="exact"/>
              <w:jc w:val="center"/>
              <w:rPr>
                <w:rFonts w:hint="eastAsia" w:ascii="黑体" w:hAnsi="黑体" w:eastAsia="黑体"/>
                <w:sz w:val="24"/>
              </w:rPr>
            </w:pPr>
            <w:r>
              <w:rPr>
                <w:rFonts w:hint="eastAsia" w:ascii="黑体" w:hAnsi="黑体" w:eastAsia="黑体"/>
                <w:sz w:val="24"/>
              </w:rPr>
              <w:t>（元/车公里）</w:t>
            </w: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1类客车</w:t>
            </w: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微型、小型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≤9</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0.45</w:t>
            </w:r>
          </w:p>
        </w:tc>
      </w:tr>
      <w:tr>
        <w:tc>
          <w:tcPr>
            <w:tcW w:w="1072"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2类客车</w:t>
            </w: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中型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10-19</w:t>
            </w:r>
          </w:p>
        </w:tc>
        <w:tc>
          <w:tcPr>
            <w:tcW w:w="2064"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0.8</w:t>
            </w:r>
          </w:p>
        </w:tc>
      </w:tr>
      <w:tr>
        <w:tc>
          <w:tcPr>
            <w:tcW w:w="1072" w:type="dxa"/>
            <w:vMerge w:val="continue"/>
            <w:vAlign w:val="center"/>
          </w:tcPr>
          <w:p>
            <w:pPr>
              <w:spacing w:line="580" w:lineRule="exact"/>
              <w:jc w:val="center"/>
              <w:rPr>
                <w:rFonts w:hint="eastAsia" w:ascii="仿宋_GB2312" w:eastAsia="仿宋_GB2312"/>
                <w:sz w:val="24"/>
              </w:rPr>
            </w:pP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乘用车列车</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w:t>
            </w:r>
          </w:p>
        </w:tc>
        <w:tc>
          <w:tcPr>
            <w:tcW w:w="2064" w:type="dxa"/>
            <w:vMerge w:val="continue"/>
            <w:vAlign w:val="center"/>
          </w:tcPr>
          <w:p>
            <w:pPr>
              <w:spacing w:line="580" w:lineRule="exact"/>
              <w:jc w:val="center"/>
              <w:rPr>
                <w:rFonts w:hint="eastAsia" w:ascii="仿宋_GB2312" w:eastAsia="仿宋_GB2312"/>
                <w:sz w:val="24"/>
              </w:rPr>
            </w:pP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3类客车</w:t>
            </w:r>
          </w:p>
        </w:tc>
        <w:tc>
          <w:tcPr>
            <w:tcW w:w="2491"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大型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≤39</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1.1</w:t>
            </w: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4类客车</w:t>
            </w:r>
          </w:p>
        </w:tc>
        <w:tc>
          <w:tcPr>
            <w:tcW w:w="2491" w:type="dxa"/>
            <w:vMerge w:val="continue"/>
            <w:vAlign w:val="center"/>
          </w:tcPr>
          <w:p>
            <w:pPr>
              <w:spacing w:line="580" w:lineRule="exact"/>
              <w:jc w:val="center"/>
              <w:rPr>
                <w:rFonts w:hint="eastAsia" w:ascii="仿宋_GB2312" w:eastAsia="仿宋_GB2312"/>
                <w:sz w:val="24"/>
              </w:rPr>
            </w:pP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≥40</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1.3</w:t>
            </w:r>
          </w:p>
        </w:tc>
      </w:tr>
    </w:tbl>
    <w:p>
      <w:pPr>
        <w:pStyle w:val="3"/>
        <w:spacing w:line="580" w:lineRule="exact"/>
        <w:rPr>
          <w:rFonts w:hint="eastAsia"/>
        </w:rPr>
      </w:pPr>
      <w:r>
        <w:rPr>
          <w:rFonts w:hint="eastAsia"/>
        </w:rPr>
        <w:t>（二）高速公路货车收费标准</w:t>
      </w:r>
    </w:p>
    <w:tbl>
      <w:tblPr>
        <w:tblW w:w="8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5270"/>
        <w:gridCol w:w="1648"/>
      </w:tblGrid>
      <w:tr>
        <w:trPr>
          <w:trHeight w:val="682" w:hRule="atLeast"/>
          <w:jc w:val="center"/>
        </w:trPr>
        <w:tc>
          <w:tcPr>
            <w:tcW w:w="1347" w:type="dxa"/>
            <w:vAlign w:val="center"/>
          </w:tcPr>
          <w:p>
            <w:pPr>
              <w:snapToGrid w:val="0"/>
              <w:spacing w:line="580" w:lineRule="exact"/>
              <w:jc w:val="center"/>
              <w:rPr>
                <w:rFonts w:ascii="黑体" w:hAnsi="黑体" w:eastAsia="黑体"/>
                <w:sz w:val="24"/>
              </w:rPr>
            </w:pPr>
            <w:r>
              <w:rPr>
                <w:rFonts w:ascii="黑体" w:hAnsi="黑体" w:eastAsia="黑体"/>
                <w:sz w:val="24"/>
              </w:rPr>
              <w:t>车型</w:t>
            </w:r>
          </w:p>
          <w:p>
            <w:pPr>
              <w:snapToGrid w:val="0"/>
              <w:spacing w:line="580" w:lineRule="exact"/>
              <w:jc w:val="center"/>
              <w:rPr>
                <w:rFonts w:ascii="黑体" w:hAnsi="黑体" w:eastAsia="黑体"/>
                <w:sz w:val="24"/>
              </w:rPr>
            </w:pPr>
            <w:r>
              <w:rPr>
                <w:rFonts w:ascii="黑体" w:hAnsi="黑体" w:eastAsia="黑体"/>
                <w:sz w:val="24"/>
              </w:rPr>
              <w:t>分类</w:t>
            </w:r>
          </w:p>
        </w:tc>
        <w:tc>
          <w:tcPr>
            <w:tcW w:w="5270" w:type="dxa"/>
            <w:vAlign w:val="center"/>
          </w:tcPr>
          <w:p>
            <w:pPr>
              <w:snapToGrid w:val="0"/>
              <w:spacing w:line="580" w:lineRule="exact"/>
              <w:jc w:val="center"/>
              <w:rPr>
                <w:rFonts w:ascii="黑体" w:hAnsi="黑体" w:eastAsia="黑体"/>
                <w:sz w:val="24"/>
              </w:rPr>
            </w:pPr>
            <w:r>
              <w:rPr>
                <w:rFonts w:ascii="黑体" w:hAnsi="黑体" w:eastAsia="黑体"/>
                <w:sz w:val="24"/>
              </w:rPr>
              <w:t>JT/T489—2019分类标准</w:t>
            </w:r>
          </w:p>
        </w:tc>
        <w:tc>
          <w:tcPr>
            <w:tcW w:w="1648" w:type="dxa"/>
            <w:vAlign w:val="center"/>
          </w:tcPr>
          <w:p>
            <w:pPr>
              <w:snapToGrid w:val="0"/>
              <w:spacing w:line="580" w:lineRule="exact"/>
              <w:jc w:val="center"/>
              <w:rPr>
                <w:rFonts w:ascii="黑体" w:hAnsi="黑体" w:eastAsia="黑体"/>
                <w:sz w:val="24"/>
              </w:rPr>
            </w:pPr>
            <w:r>
              <w:rPr>
                <w:rFonts w:ascii="黑体" w:hAnsi="黑体" w:eastAsia="黑体"/>
                <w:sz w:val="24"/>
              </w:rPr>
              <w:t>收费标准</w:t>
            </w:r>
          </w:p>
          <w:p>
            <w:pPr>
              <w:snapToGrid w:val="0"/>
              <w:spacing w:line="580" w:lineRule="exact"/>
              <w:jc w:val="center"/>
              <w:rPr>
                <w:rFonts w:ascii="黑体" w:hAnsi="黑体" w:eastAsia="黑体"/>
                <w:sz w:val="24"/>
              </w:rPr>
            </w:pPr>
            <w:r>
              <w:rPr>
                <w:rFonts w:ascii="黑体" w:hAnsi="黑体" w:eastAsia="黑体"/>
                <w:sz w:val="24"/>
              </w:rPr>
              <w:t>（元/公里）</w:t>
            </w:r>
          </w:p>
        </w:tc>
      </w:tr>
      <w:tr>
        <w:trPr>
          <w:trHeight w:val="682" w:hRule="atLeast"/>
          <w:jc w:val="center"/>
        </w:trPr>
        <w:tc>
          <w:tcPr>
            <w:tcW w:w="1347"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第1类</w:t>
            </w:r>
          </w:p>
        </w:tc>
        <w:tc>
          <w:tcPr>
            <w:tcW w:w="5270" w:type="dxa"/>
            <w:vAlign w:val="center"/>
          </w:tcPr>
          <w:p>
            <w:pPr>
              <w:snapToGrid w:val="0"/>
              <w:spacing w:line="580" w:lineRule="exact"/>
              <w:rPr>
                <w:rFonts w:hint="eastAsia" w:ascii="仿宋_GB2312" w:eastAsia="仿宋_GB2312"/>
                <w:sz w:val="24"/>
              </w:rPr>
            </w:pPr>
            <w:r>
              <w:rPr>
                <w:rFonts w:hint="eastAsia" w:ascii="仿宋_GB2312" w:eastAsia="仿宋_GB2312"/>
                <w:sz w:val="24"/>
              </w:rPr>
              <w:t>2轴，车长小于6000mm且最大允许总质量小于4500kg</w:t>
            </w:r>
          </w:p>
        </w:tc>
        <w:tc>
          <w:tcPr>
            <w:tcW w:w="1648"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0.45</w:t>
            </w:r>
          </w:p>
        </w:tc>
      </w:tr>
      <w:tr>
        <w:trPr>
          <w:trHeight w:val="682" w:hRule="atLeast"/>
          <w:jc w:val="center"/>
        </w:trPr>
        <w:tc>
          <w:tcPr>
            <w:tcW w:w="1347"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第2类</w:t>
            </w:r>
          </w:p>
        </w:tc>
        <w:tc>
          <w:tcPr>
            <w:tcW w:w="5270" w:type="dxa"/>
            <w:vAlign w:val="center"/>
          </w:tcPr>
          <w:p>
            <w:pPr>
              <w:snapToGrid w:val="0"/>
              <w:spacing w:line="580" w:lineRule="exact"/>
              <w:rPr>
                <w:rFonts w:hint="eastAsia" w:ascii="仿宋_GB2312" w:eastAsia="仿宋_GB2312"/>
                <w:sz w:val="24"/>
              </w:rPr>
            </w:pPr>
            <w:r>
              <w:rPr>
                <w:rFonts w:hint="eastAsia" w:ascii="仿宋_GB2312" w:eastAsia="仿宋_GB2312"/>
                <w:sz w:val="24"/>
              </w:rPr>
              <w:t>2轴，车长不小于6000mm或最大允许总质量不小于4500kg</w:t>
            </w:r>
          </w:p>
        </w:tc>
        <w:tc>
          <w:tcPr>
            <w:tcW w:w="1648"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0.90</w:t>
            </w:r>
          </w:p>
        </w:tc>
      </w:tr>
      <w:tr>
        <w:trPr>
          <w:trHeight w:val="682" w:hRule="atLeast"/>
          <w:jc w:val="center"/>
        </w:trPr>
        <w:tc>
          <w:tcPr>
            <w:tcW w:w="1347"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第3类</w:t>
            </w:r>
          </w:p>
        </w:tc>
        <w:tc>
          <w:tcPr>
            <w:tcW w:w="527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3轴</w:t>
            </w:r>
          </w:p>
        </w:tc>
        <w:tc>
          <w:tcPr>
            <w:tcW w:w="1648"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1.35</w:t>
            </w:r>
          </w:p>
        </w:tc>
      </w:tr>
      <w:tr>
        <w:trPr>
          <w:trHeight w:val="682" w:hRule="atLeast"/>
          <w:jc w:val="center"/>
        </w:trPr>
        <w:tc>
          <w:tcPr>
            <w:tcW w:w="1347"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第4类</w:t>
            </w:r>
          </w:p>
        </w:tc>
        <w:tc>
          <w:tcPr>
            <w:tcW w:w="527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4轴</w:t>
            </w:r>
          </w:p>
        </w:tc>
        <w:tc>
          <w:tcPr>
            <w:tcW w:w="1648" w:type="dxa"/>
            <w:tcBorders>
              <w:bottom w:val="single" w:color="auto" w:sz="4" w:space="0"/>
            </w:tcBorders>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1.70</w:t>
            </w:r>
          </w:p>
        </w:tc>
      </w:tr>
      <w:tr>
        <w:trPr>
          <w:trHeight w:val="682" w:hRule="atLeast"/>
          <w:jc w:val="center"/>
        </w:trPr>
        <w:tc>
          <w:tcPr>
            <w:tcW w:w="1347"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第5类</w:t>
            </w:r>
          </w:p>
        </w:tc>
        <w:tc>
          <w:tcPr>
            <w:tcW w:w="527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5轴</w:t>
            </w:r>
          </w:p>
        </w:tc>
        <w:tc>
          <w:tcPr>
            <w:tcW w:w="1648"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1.85</w:t>
            </w:r>
          </w:p>
        </w:tc>
      </w:tr>
      <w:tr>
        <w:trPr>
          <w:trHeight w:val="682" w:hRule="atLeast"/>
          <w:jc w:val="center"/>
        </w:trPr>
        <w:tc>
          <w:tcPr>
            <w:tcW w:w="1347"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第6类</w:t>
            </w:r>
          </w:p>
        </w:tc>
        <w:tc>
          <w:tcPr>
            <w:tcW w:w="527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6轴</w:t>
            </w:r>
          </w:p>
        </w:tc>
        <w:tc>
          <w:tcPr>
            <w:tcW w:w="1648"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2.20</w:t>
            </w:r>
          </w:p>
        </w:tc>
      </w:tr>
      <w:tr>
        <w:trPr>
          <w:trHeight w:val="683" w:hRule="atLeast"/>
          <w:jc w:val="center"/>
        </w:trPr>
        <w:tc>
          <w:tcPr>
            <w:tcW w:w="8265" w:type="dxa"/>
            <w:gridSpan w:val="3"/>
            <w:vAlign w:val="center"/>
          </w:tcPr>
          <w:p>
            <w:pPr>
              <w:snapToGrid w:val="0"/>
              <w:spacing w:line="580" w:lineRule="exact"/>
              <w:rPr>
                <w:rFonts w:hint="eastAsia" w:ascii="仿宋_GB2312" w:eastAsia="仿宋_GB2312"/>
                <w:sz w:val="24"/>
              </w:rPr>
            </w:pPr>
            <w:r>
              <w:rPr>
                <w:rFonts w:hint="eastAsia" w:ascii="仿宋_GB2312" w:eastAsia="仿宋_GB2312"/>
                <w:sz w:val="24"/>
              </w:rPr>
              <w:t>六轴以上的货车，在第6类货车收费标准的基础上，每增加一轴，按1.1倍系数确定收费标准；10轴及以上货车收费标准按10轴货车标准执行。</w:t>
            </w:r>
          </w:p>
        </w:tc>
      </w:tr>
    </w:tbl>
    <w:p>
      <w:pPr>
        <w:pStyle w:val="3"/>
        <w:spacing w:line="580" w:lineRule="exact"/>
        <w:rPr>
          <w:rFonts w:hint="eastAsia"/>
        </w:rPr>
      </w:pPr>
      <w:r>
        <w:rPr>
          <w:rFonts w:hint="eastAsia"/>
        </w:rPr>
        <w:t>（三）高速公路专项作业车收费标准</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高速公路专项作业车收费标准按同类型货车收费标准执行。</w:t>
      </w:r>
    </w:p>
    <w:p>
      <w:pPr>
        <w:pStyle w:val="3"/>
        <w:spacing w:line="580" w:lineRule="exact"/>
        <w:rPr>
          <w:rFonts w:hint="eastAsia"/>
        </w:rPr>
      </w:pPr>
      <w:r>
        <w:rPr>
          <w:rFonts w:hint="eastAsia"/>
        </w:rPr>
        <w:t>（四）高速公路特大桥隧加收通行费标准</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沿用现行高速公路特大桥隧加收通行费标准。如下：</w:t>
      </w:r>
    </w:p>
    <w:tbl>
      <w:tblPr>
        <w:tblW w:w="8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684"/>
        <w:gridCol w:w="1177"/>
        <w:gridCol w:w="2815"/>
        <w:gridCol w:w="1501"/>
      </w:tblGrid>
      <w:tr>
        <w:trPr>
          <w:trHeight w:val="561" w:hRule="atLeast"/>
          <w:tblHeader/>
          <w:jc w:val="center"/>
        </w:trPr>
        <w:tc>
          <w:tcPr>
            <w:tcW w:w="842" w:type="dxa"/>
            <w:vMerge w:val="restart"/>
            <w:vAlign w:val="center"/>
          </w:tcPr>
          <w:p>
            <w:pPr>
              <w:snapToGrid w:val="0"/>
              <w:spacing w:line="580" w:lineRule="exact"/>
              <w:jc w:val="center"/>
              <w:rPr>
                <w:rFonts w:ascii="黑体" w:hAnsi="黑体" w:eastAsia="黑体"/>
                <w:sz w:val="24"/>
                <w:szCs w:val="24"/>
              </w:rPr>
            </w:pPr>
            <w:r>
              <w:rPr>
                <w:rFonts w:ascii="黑体" w:hAnsi="黑体" w:eastAsia="黑体"/>
                <w:sz w:val="24"/>
                <w:szCs w:val="24"/>
              </w:rPr>
              <w:t>车型</w:t>
            </w:r>
          </w:p>
          <w:p>
            <w:pPr>
              <w:snapToGrid w:val="0"/>
              <w:spacing w:line="580" w:lineRule="exact"/>
              <w:jc w:val="center"/>
              <w:rPr>
                <w:rFonts w:ascii="黑体" w:hAnsi="黑体" w:eastAsia="黑体"/>
                <w:sz w:val="24"/>
                <w:szCs w:val="24"/>
              </w:rPr>
            </w:pPr>
            <w:r>
              <w:rPr>
                <w:rFonts w:ascii="黑体" w:hAnsi="黑体" w:eastAsia="黑体"/>
                <w:sz w:val="24"/>
                <w:szCs w:val="24"/>
              </w:rPr>
              <w:t>分类</w:t>
            </w:r>
          </w:p>
        </w:tc>
        <w:tc>
          <w:tcPr>
            <w:tcW w:w="5676" w:type="dxa"/>
            <w:gridSpan w:val="3"/>
            <w:vAlign w:val="center"/>
          </w:tcPr>
          <w:p>
            <w:pPr>
              <w:snapToGrid w:val="0"/>
              <w:spacing w:line="580" w:lineRule="exact"/>
              <w:jc w:val="center"/>
              <w:rPr>
                <w:rFonts w:ascii="黑体" w:hAnsi="黑体" w:eastAsia="黑体"/>
                <w:sz w:val="24"/>
                <w:szCs w:val="24"/>
              </w:rPr>
            </w:pPr>
            <w:r>
              <w:rPr>
                <w:rFonts w:ascii="黑体" w:hAnsi="黑体" w:eastAsia="黑体"/>
                <w:sz w:val="24"/>
                <w:szCs w:val="24"/>
              </w:rPr>
              <w:t>JT/T489—2019分类标准</w:t>
            </w:r>
          </w:p>
        </w:tc>
        <w:tc>
          <w:tcPr>
            <w:tcW w:w="1501" w:type="dxa"/>
            <w:vMerge w:val="restart"/>
            <w:vAlign w:val="center"/>
          </w:tcPr>
          <w:p>
            <w:pPr>
              <w:snapToGrid w:val="0"/>
              <w:spacing w:line="580" w:lineRule="exact"/>
              <w:jc w:val="center"/>
              <w:rPr>
                <w:rFonts w:ascii="黑体" w:hAnsi="黑体" w:eastAsia="黑体"/>
                <w:sz w:val="24"/>
                <w:szCs w:val="24"/>
              </w:rPr>
            </w:pPr>
            <w:r>
              <w:rPr>
                <w:rFonts w:ascii="黑体" w:hAnsi="黑体" w:eastAsia="黑体"/>
                <w:sz w:val="24"/>
                <w:szCs w:val="24"/>
              </w:rPr>
              <w:t>加收标准（元/车次）</w:t>
            </w:r>
          </w:p>
        </w:tc>
      </w:tr>
      <w:tr>
        <w:trPr>
          <w:trHeight w:val="680" w:hRule="atLeast"/>
          <w:tblHeader/>
          <w:jc w:val="center"/>
        </w:trPr>
        <w:tc>
          <w:tcPr>
            <w:tcW w:w="842" w:type="dxa"/>
            <w:vMerge w:val="continue"/>
            <w:vAlign w:val="center"/>
          </w:tcPr>
          <w:p>
            <w:pPr>
              <w:snapToGrid w:val="0"/>
              <w:spacing w:line="580" w:lineRule="exact"/>
              <w:jc w:val="center"/>
              <w:rPr>
                <w:sz w:val="24"/>
                <w:szCs w:val="24"/>
              </w:rPr>
            </w:pPr>
          </w:p>
        </w:tc>
        <w:tc>
          <w:tcPr>
            <w:tcW w:w="2861" w:type="dxa"/>
            <w:gridSpan w:val="2"/>
            <w:vAlign w:val="center"/>
          </w:tcPr>
          <w:p>
            <w:pPr>
              <w:snapToGrid w:val="0"/>
              <w:spacing w:line="580" w:lineRule="exact"/>
              <w:jc w:val="center"/>
              <w:rPr>
                <w:rFonts w:ascii="黑体" w:hAnsi="黑体" w:eastAsia="黑体"/>
                <w:sz w:val="24"/>
                <w:szCs w:val="24"/>
              </w:rPr>
            </w:pPr>
            <w:r>
              <w:rPr>
                <w:rFonts w:ascii="黑体" w:hAnsi="黑体" w:eastAsia="黑体"/>
                <w:sz w:val="24"/>
                <w:szCs w:val="24"/>
              </w:rPr>
              <w:t>客车</w:t>
            </w:r>
          </w:p>
          <w:p>
            <w:pPr>
              <w:snapToGrid w:val="0"/>
              <w:spacing w:line="580" w:lineRule="exact"/>
              <w:jc w:val="center"/>
              <w:rPr>
                <w:rFonts w:ascii="黑体" w:hAnsi="黑体" w:eastAsia="黑体"/>
                <w:sz w:val="24"/>
                <w:szCs w:val="24"/>
              </w:rPr>
            </w:pPr>
            <w:r>
              <w:rPr>
                <w:rFonts w:ascii="黑体" w:hAnsi="黑体" w:eastAsia="黑体"/>
                <w:sz w:val="24"/>
                <w:szCs w:val="24"/>
              </w:rPr>
              <w:t>（车辆类型及核定载人数）</w:t>
            </w:r>
          </w:p>
        </w:tc>
        <w:tc>
          <w:tcPr>
            <w:tcW w:w="2815" w:type="dxa"/>
            <w:vAlign w:val="center"/>
          </w:tcPr>
          <w:p>
            <w:pPr>
              <w:snapToGrid w:val="0"/>
              <w:spacing w:line="580" w:lineRule="exact"/>
              <w:jc w:val="center"/>
              <w:rPr>
                <w:rFonts w:ascii="黑体" w:hAnsi="黑体" w:eastAsia="黑体"/>
                <w:sz w:val="24"/>
                <w:szCs w:val="24"/>
              </w:rPr>
            </w:pPr>
            <w:r>
              <w:rPr>
                <w:rFonts w:ascii="黑体" w:hAnsi="黑体" w:eastAsia="黑体"/>
                <w:sz w:val="24"/>
                <w:szCs w:val="24"/>
              </w:rPr>
              <w:t>货车</w:t>
            </w:r>
          </w:p>
        </w:tc>
        <w:tc>
          <w:tcPr>
            <w:tcW w:w="1501" w:type="dxa"/>
            <w:vMerge w:val="continue"/>
            <w:vAlign w:val="center"/>
          </w:tcPr>
          <w:p>
            <w:pPr>
              <w:snapToGrid w:val="0"/>
              <w:spacing w:line="580" w:lineRule="exact"/>
              <w:jc w:val="center"/>
              <w:rPr>
                <w:sz w:val="24"/>
                <w:szCs w:val="24"/>
              </w:rPr>
            </w:pPr>
          </w:p>
        </w:tc>
      </w:tr>
      <w:tr>
        <w:trPr>
          <w:trHeight w:val="680" w:hRule="atLeast"/>
          <w:jc w:val="center"/>
        </w:trPr>
        <w:tc>
          <w:tcPr>
            <w:tcW w:w="842"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第1类</w:t>
            </w:r>
          </w:p>
        </w:tc>
        <w:tc>
          <w:tcPr>
            <w:tcW w:w="1684"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微型</w:t>
            </w:r>
          </w:p>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小型</w:t>
            </w: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≤9</w:t>
            </w:r>
          </w:p>
        </w:tc>
        <w:tc>
          <w:tcPr>
            <w:tcW w:w="2815" w:type="dxa"/>
            <w:vAlign w:val="center"/>
          </w:tcPr>
          <w:p>
            <w:pPr>
              <w:snapToGrid w:val="0"/>
              <w:spacing w:line="580" w:lineRule="exact"/>
              <w:rPr>
                <w:rFonts w:hint="eastAsia" w:ascii="仿宋_GB2312" w:eastAsia="仿宋_GB2312"/>
                <w:sz w:val="24"/>
                <w:szCs w:val="24"/>
              </w:rPr>
            </w:pPr>
            <w:r>
              <w:rPr>
                <w:rFonts w:hint="eastAsia" w:ascii="仿宋_GB2312" w:eastAsia="仿宋_GB2312"/>
                <w:sz w:val="24"/>
                <w:szCs w:val="24"/>
              </w:rPr>
              <w:t>2轴，车长小于6000mm且最大允许总质量小于4500kg</w:t>
            </w:r>
          </w:p>
        </w:tc>
        <w:tc>
          <w:tcPr>
            <w:tcW w:w="1501"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10</w:t>
            </w:r>
          </w:p>
        </w:tc>
      </w:tr>
      <w:tr>
        <w:trPr>
          <w:trHeight w:val="567" w:hRule="atLeast"/>
          <w:jc w:val="center"/>
        </w:trPr>
        <w:tc>
          <w:tcPr>
            <w:tcW w:w="842" w:type="dxa"/>
            <w:vMerge w:val="restart"/>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第2类</w:t>
            </w:r>
          </w:p>
        </w:tc>
        <w:tc>
          <w:tcPr>
            <w:tcW w:w="1684" w:type="dxa"/>
            <w:vAlign w:val="center"/>
          </w:tcPr>
          <w:p>
            <w:pPr>
              <w:spacing w:line="580" w:lineRule="exact"/>
              <w:jc w:val="center"/>
              <w:rPr>
                <w:rFonts w:hint="eastAsia" w:ascii="仿宋_GB2312" w:eastAsia="仿宋_GB2312"/>
                <w:sz w:val="24"/>
                <w:szCs w:val="24"/>
              </w:rPr>
            </w:pPr>
            <w:r>
              <w:rPr>
                <w:rFonts w:hint="eastAsia" w:ascii="仿宋_GB2312" w:eastAsia="仿宋_GB2312"/>
                <w:sz w:val="24"/>
                <w:szCs w:val="24"/>
              </w:rPr>
              <w:t>中型</w:t>
            </w: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10-19</w:t>
            </w:r>
          </w:p>
        </w:tc>
        <w:tc>
          <w:tcPr>
            <w:tcW w:w="2815" w:type="dxa"/>
            <w:vMerge w:val="restart"/>
            <w:vAlign w:val="center"/>
          </w:tcPr>
          <w:p>
            <w:pPr>
              <w:snapToGrid w:val="0"/>
              <w:spacing w:line="580" w:lineRule="exact"/>
              <w:rPr>
                <w:rFonts w:hint="eastAsia" w:ascii="仿宋_GB2312" w:eastAsia="仿宋_GB2312"/>
                <w:sz w:val="24"/>
                <w:szCs w:val="24"/>
              </w:rPr>
            </w:pPr>
            <w:r>
              <w:rPr>
                <w:rFonts w:hint="eastAsia" w:ascii="仿宋_GB2312" w:eastAsia="仿宋_GB2312"/>
                <w:sz w:val="24"/>
                <w:szCs w:val="24"/>
              </w:rPr>
              <w:t>2轴，车长不小于6000mm或最大允许总质量不小于4500kg</w:t>
            </w:r>
          </w:p>
        </w:tc>
        <w:tc>
          <w:tcPr>
            <w:tcW w:w="1501" w:type="dxa"/>
            <w:vMerge w:val="restart"/>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15</w:t>
            </w:r>
          </w:p>
        </w:tc>
      </w:tr>
      <w:tr>
        <w:trPr>
          <w:trHeight w:val="567" w:hRule="atLeast"/>
          <w:jc w:val="center"/>
        </w:trPr>
        <w:tc>
          <w:tcPr>
            <w:tcW w:w="842" w:type="dxa"/>
            <w:vMerge w:val="continue"/>
            <w:vAlign w:val="center"/>
          </w:tcPr>
          <w:p>
            <w:pPr>
              <w:snapToGrid w:val="0"/>
              <w:spacing w:line="580" w:lineRule="exact"/>
              <w:jc w:val="center"/>
              <w:rPr>
                <w:rFonts w:hint="eastAsia" w:ascii="仿宋_GB2312" w:eastAsia="仿宋_GB2312"/>
                <w:sz w:val="24"/>
                <w:szCs w:val="24"/>
              </w:rPr>
            </w:pPr>
          </w:p>
        </w:tc>
        <w:tc>
          <w:tcPr>
            <w:tcW w:w="1684" w:type="dxa"/>
            <w:vAlign w:val="center"/>
          </w:tcPr>
          <w:p>
            <w:pPr>
              <w:spacing w:line="580" w:lineRule="exact"/>
              <w:jc w:val="center"/>
              <w:rPr>
                <w:rFonts w:hint="eastAsia" w:ascii="仿宋_GB2312" w:eastAsia="仿宋_GB2312"/>
                <w:sz w:val="24"/>
                <w:szCs w:val="24"/>
              </w:rPr>
            </w:pPr>
            <w:r>
              <w:rPr>
                <w:rFonts w:hint="eastAsia" w:ascii="仿宋_GB2312" w:eastAsia="仿宋_GB2312"/>
                <w:sz w:val="24"/>
                <w:szCs w:val="24"/>
              </w:rPr>
              <w:t>乘用车列车</w:t>
            </w: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w:t>
            </w:r>
          </w:p>
        </w:tc>
        <w:tc>
          <w:tcPr>
            <w:tcW w:w="2815" w:type="dxa"/>
            <w:vMerge w:val="continue"/>
            <w:vAlign w:val="center"/>
          </w:tcPr>
          <w:p>
            <w:pPr>
              <w:snapToGrid w:val="0"/>
              <w:spacing w:line="580" w:lineRule="exact"/>
              <w:jc w:val="center"/>
              <w:rPr>
                <w:rFonts w:hint="eastAsia" w:ascii="仿宋_GB2312" w:eastAsia="仿宋_GB2312"/>
                <w:sz w:val="24"/>
                <w:szCs w:val="24"/>
              </w:rPr>
            </w:pPr>
          </w:p>
        </w:tc>
        <w:tc>
          <w:tcPr>
            <w:tcW w:w="1501" w:type="dxa"/>
            <w:vMerge w:val="continue"/>
            <w:vAlign w:val="center"/>
          </w:tcPr>
          <w:p>
            <w:pPr>
              <w:snapToGrid w:val="0"/>
              <w:spacing w:line="580" w:lineRule="exact"/>
              <w:jc w:val="center"/>
              <w:rPr>
                <w:rFonts w:hint="eastAsia" w:ascii="仿宋_GB2312" w:eastAsia="仿宋_GB2312"/>
                <w:sz w:val="24"/>
                <w:szCs w:val="24"/>
              </w:rPr>
            </w:pPr>
          </w:p>
        </w:tc>
      </w:tr>
      <w:tr>
        <w:trPr>
          <w:trHeight w:val="567" w:hRule="atLeast"/>
          <w:jc w:val="center"/>
        </w:trPr>
        <w:tc>
          <w:tcPr>
            <w:tcW w:w="842"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第3类</w:t>
            </w:r>
          </w:p>
        </w:tc>
        <w:tc>
          <w:tcPr>
            <w:tcW w:w="1684" w:type="dxa"/>
            <w:vMerge w:val="restart"/>
            <w:vAlign w:val="center"/>
          </w:tcPr>
          <w:p>
            <w:pPr>
              <w:spacing w:line="580" w:lineRule="exact"/>
              <w:jc w:val="center"/>
              <w:rPr>
                <w:rFonts w:hint="eastAsia" w:ascii="仿宋_GB2312" w:eastAsia="仿宋_GB2312"/>
                <w:sz w:val="24"/>
                <w:szCs w:val="24"/>
              </w:rPr>
            </w:pPr>
            <w:r>
              <w:rPr>
                <w:rFonts w:hint="eastAsia" w:ascii="仿宋_GB2312" w:eastAsia="仿宋_GB2312"/>
                <w:sz w:val="24"/>
                <w:szCs w:val="24"/>
              </w:rPr>
              <w:t>大型</w:t>
            </w: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≤39</w:t>
            </w:r>
          </w:p>
        </w:tc>
        <w:tc>
          <w:tcPr>
            <w:tcW w:w="2815"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3轴</w:t>
            </w:r>
          </w:p>
        </w:tc>
        <w:tc>
          <w:tcPr>
            <w:tcW w:w="1501"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20</w:t>
            </w:r>
          </w:p>
        </w:tc>
      </w:tr>
      <w:tr>
        <w:trPr>
          <w:trHeight w:val="567" w:hRule="atLeast"/>
          <w:jc w:val="center"/>
        </w:trPr>
        <w:tc>
          <w:tcPr>
            <w:tcW w:w="842"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第4类</w:t>
            </w:r>
          </w:p>
        </w:tc>
        <w:tc>
          <w:tcPr>
            <w:tcW w:w="1684" w:type="dxa"/>
            <w:vMerge w:val="continue"/>
            <w:vAlign w:val="center"/>
          </w:tcPr>
          <w:p>
            <w:pPr>
              <w:spacing w:line="580" w:lineRule="exact"/>
              <w:jc w:val="center"/>
              <w:rPr>
                <w:rFonts w:hint="eastAsia" w:ascii="仿宋_GB2312" w:eastAsia="仿宋_GB2312"/>
                <w:sz w:val="24"/>
                <w:szCs w:val="24"/>
              </w:rPr>
            </w:pP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≥40</w:t>
            </w:r>
          </w:p>
        </w:tc>
        <w:tc>
          <w:tcPr>
            <w:tcW w:w="2815"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4轴</w:t>
            </w:r>
          </w:p>
        </w:tc>
        <w:tc>
          <w:tcPr>
            <w:tcW w:w="1501" w:type="dxa"/>
            <w:tcBorders>
              <w:bottom w:val="single" w:color="auto" w:sz="4" w:space="0"/>
            </w:tcBorders>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25</w:t>
            </w:r>
          </w:p>
        </w:tc>
      </w:tr>
      <w:tr>
        <w:trPr>
          <w:trHeight w:val="567" w:hRule="atLeast"/>
          <w:jc w:val="center"/>
        </w:trPr>
        <w:tc>
          <w:tcPr>
            <w:tcW w:w="842"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第5类</w:t>
            </w:r>
          </w:p>
        </w:tc>
        <w:tc>
          <w:tcPr>
            <w:tcW w:w="1684"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w:t>
            </w: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w:t>
            </w:r>
          </w:p>
        </w:tc>
        <w:tc>
          <w:tcPr>
            <w:tcW w:w="2815"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5轴</w:t>
            </w:r>
          </w:p>
        </w:tc>
        <w:tc>
          <w:tcPr>
            <w:tcW w:w="1501"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30</w:t>
            </w:r>
          </w:p>
        </w:tc>
      </w:tr>
      <w:tr>
        <w:trPr>
          <w:trHeight w:val="567" w:hRule="atLeast"/>
          <w:jc w:val="center"/>
        </w:trPr>
        <w:tc>
          <w:tcPr>
            <w:tcW w:w="842"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第6类</w:t>
            </w:r>
          </w:p>
        </w:tc>
        <w:tc>
          <w:tcPr>
            <w:tcW w:w="1684"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w:t>
            </w:r>
          </w:p>
        </w:tc>
        <w:tc>
          <w:tcPr>
            <w:tcW w:w="1177"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w:t>
            </w:r>
          </w:p>
        </w:tc>
        <w:tc>
          <w:tcPr>
            <w:tcW w:w="2815"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6轴</w:t>
            </w:r>
          </w:p>
        </w:tc>
        <w:tc>
          <w:tcPr>
            <w:tcW w:w="1501" w:type="dxa"/>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30</w:t>
            </w:r>
          </w:p>
        </w:tc>
      </w:tr>
      <w:tr>
        <w:trPr>
          <w:trHeight w:val="567" w:hRule="atLeast"/>
          <w:jc w:val="center"/>
        </w:trPr>
        <w:tc>
          <w:tcPr>
            <w:tcW w:w="8019" w:type="dxa"/>
            <w:gridSpan w:val="5"/>
            <w:vAlign w:val="center"/>
          </w:tcPr>
          <w:p>
            <w:pPr>
              <w:snapToGrid w:val="0"/>
              <w:spacing w:line="580" w:lineRule="exact"/>
              <w:jc w:val="center"/>
              <w:rPr>
                <w:rFonts w:hint="eastAsia" w:ascii="仿宋_GB2312" w:eastAsia="仿宋_GB2312"/>
                <w:sz w:val="24"/>
                <w:szCs w:val="24"/>
              </w:rPr>
            </w:pPr>
            <w:r>
              <w:rPr>
                <w:rFonts w:hint="eastAsia" w:ascii="仿宋_GB2312" w:eastAsia="仿宋_GB2312"/>
                <w:sz w:val="24"/>
                <w:szCs w:val="24"/>
              </w:rPr>
              <w:t>第5类及以上货车，按照第5类车加收通行费标准执行。</w:t>
            </w:r>
          </w:p>
        </w:tc>
      </w:tr>
    </w:tbl>
    <w:p>
      <w:pPr>
        <w:pStyle w:val="2"/>
        <w:spacing w:line="580" w:lineRule="exact"/>
        <w:rPr>
          <w:rFonts w:hint="eastAsia"/>
        </w:rPr>
      </w:pPr>
      <w:r>
        <w:rPr>
          <w:rFonts w:hint="eastAsia"/>
        </w:rPr>
        <w:t>二、普通公路收费标准</w:t>
      </w:r>
      <w:r>
        <w:tab/>
      </w:r>
    </w:p>
    <w:p>
      <w:pPr>
        <w:pStyle w:val="3"/>
        <w:spacing w:line="580" w:lineRule="exact"/>
        <w:rPr>
          <w:rFonts w:hint="eastAsia"/>
        </w:rPr>
      </w:pPr>
      <w:r>
        <w:rPr>
          <w:rFonts w:hint="eastAsia"/>
        </w:rPr>
        <w:t>（一）普通公路客车收费标准</w:t>
      </w:r>
    </w:p>
    <w:tbl>
      <w:tblPr>
        <w:tblW w:w="782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491"/>
        <w:gridCol w:w="2201"/>
        <w:gridCol w:w="2064"/>
      </w:tblGrid>
      <w:tr>
        <w:tc>
          <w:tcPr>
            <w:tcW w:w="1072" w:type="dxa"/>
            <w:vAlign w:val="center"/>
          </w:tcPr>
          <w:p>
            <w:pPr>
              <w:spacing w:line="580" w:lineRule="exact"/>
              <w:jc w:val="center"/>
              <w:rPr>
                <w:rFonts w:hint="eastAsia" w:ascii="黑体" w:hAnsi="黑体" w:eastAsia="黑体"/>
                <w:sz w:val="24"/>
              </w:rPr>
            </w:pPr>
            <w:r>
              <w:rPr>
                <w:rFonts w:hint="eastAsia" w:ascii="黑体" w:hAnsi="黑体" w:eastAsia="黑体"/>
                <w:sz w:val="24"/>
              </w:rPr>
              <w:t>类别</w:t>
            </w:r>
          </w:p>
        </w:tc>
        <w:tc>
          <w:tcPr>
            <w:tcW w:w="2491" w:type="dxa"/>
            <w:vAlign w:val="center"/>
          </w:tcPr>
          <w:p>
            <w:pPr>
              <w:spacing w:line="580" w:lineRule="exact"/>
              <w:jc w:val="center"/>
              <w:rPr>
                <w:rFonts w:hint="eastAsia" w:ascii="黑体" w:hAnsi="黑体" w:eastAsia="黑体"/>
                <w:sz w:val="24"/>
              </w:rPr>
            </w:pPr>
            <w:r>
              <w:rPr>
                <w:rFonts w:hint="eastAsia" w:ascii="黑体" w:hAnsi="黑体" w:eastAsia="黑体"/>
                <w:sz w:val="24"/>
              </w:rPr>
              <w:t>车辆类型</w:t>
            </w:r>
          </w:p>
        </w:tc>
        <w:tc>
          <w:tcPr>
            <w:tcW w:w="2201" w:type="dxa"/>
            <w:vAlign w:val="center"/>
          </w:tcPr>
          <w:p>
            <w:pPr>
              <w:spacing w:line="580" w:lineRule="exact"/>
              <w:jc w:val="center"/>
              <w:rPr>
                <w:rFonts w:hint="eastAsia" w:ascii="黑体" w:hAnsi="黑体" w:eastAsia="黑体"/>
                <w:sz w:val="24"/>
              </w:rPr>
            </w:pPr>
            <w:r>
              <w:rPr>
                <w:rFonts w:hint="eastAsia" w:ascii="黑体" w:hAnsi="黑体" w:eastAsia="黑体"/>
                <w:sz w:val="24"/>
              </w:rPr>
              <w:t>核定载人数</w:t>
            </w:r>
          </w:p>
        </w:tc>
        <w:tc>
          <w:tcPr>
            <w:tcW w:w="2064" w:type="dxa"/>
            <w:vAlign w:val="center"/>
          </w:tcPr>
          <w:p>
            <w:pPr>
              <w:spacing w:line="580" w:lineRule="exact"/>
              <w:jc w:val="center"/>
              <w:rPr>
                <w:rFonts w:hint="eastAsia" w:ascii="黑体" w:hAnsi="黑体" w:eastAsia="黑体"/>
                <w:sz w:val="24"/>
              </w:rPr>
            </w:pPr>
            <w:r>
              <w:rPr>
                <w:rFonts w:hint="eastAsia" w:ascii="黑体" w:hAnsi="黑体" w:eastAsia="黑体"/>
                <w:sz w:val="24"/>
              </w:rPr>
              <w:t>收费标准</w:t>
            </w:r>
          </w:p>
          <w:p>
            <w:pPr>
              <w:spacing w:line="580" w:lineRule="exact"/>
              <w:jc w:val="center"/>
              <w:rPr>
                <w:rFonts w:hint="eastAsia" w:ascii="黑体" w:hAnsi="黑体" w:eastAsia="黑体"/>
                <w:sz w:val="24"/>
              </w:rPr>
            </w:pPr>
            <w:r>
              <w:rPr>
                <w:rFonts w:hint="eastAsia" w:ascii="黑体" w:hAnsi="黑体" w:eastAsia="黑体"/>
                <w:sz w:val="24"/>
              </w:rPr>
              <w:t>（元/车次）</w:t>
            </w: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1类客车</w:t>
            </w: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微型、小型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≤9</w:t>
            </w:r>
          </w:p>
        </w:tc>
        <w:tc>
          <w:tcPr>
            <w:tcW w:w="2064"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10</w:t>
            </w:r>
          </w:p>
        </w:tc>
      </w:tr>
      <w:tr>
        <w:tc>
          <w:tcPr>
            <w:tcW w:w="1072"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2类客车</w:t>
            </w: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中型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10-19</w:t>
            </w:r>
          </w:p>
        </w:tc>
        <w:tc>
          <w:tcPr>
            <w:tcW w:w="2064" w:type="dxa"/>
            <w:vMerge w:val="continue"/>
            <w:vAlign w:val="center"/>
          </w:tcPr>
          <w:p>
            <w:pPr>
              <w:spacing w:line="580" w:lineRule="exact"/>
              <w:jc w:val="center"/>
              <w:rPr>
                <w:rFonts w:hint="eastAsia" w:ascii="仿宋_GB2312" w:eastAsia="仿宋_GB2312"/>
                <w:sz w:val="24"/>
              </w:rPr>
            </w:pPr>
          </w:p>
        </w:tc>
      </w:tr>
      <w:tr>
        <w:tc>
          <w:tcPr>
            <w:tcW w:w="1072" w:type="dxa"/>
            <w:vMerge w:val="continue"/>
            <w:vAlign w:val="center"/>
          </w:tcPr>
          <w:p>
            <w:pPr>
              <w:spacing w:line="580" w:lineRule="exact"/>
              <w:jc w:val="center"/>
              <w:rPr>
                <w:rFonts w:hint="eastAsia" w:ascii="仿宋_GB2312" w:eastAsia="仿宋_GB2312"/>
                <w:sz w:val="24"/>
              </w:rPr>
            </w:pP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乘用车列车</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w:t>
            </w:r>
          </w:p>
        </w:tc>
        <w:tc>
          <w:tcPr>
            <w:tcW w:w="2064" w:type="dxa"/>
            <w:vMerge w:val="continue"/>
            <w:vAlign w:val="center"/>
          </w:tcPr>
          <w:p>
            <w:pPr>
              <w:spacing w:line="580" w:lineRule="exact"/>
              <w:jc w:val="center"/>
              <w:rPr>
                <w:rFonts w:hint="eastAsia" w:ascii="仿宋_GB2312" w:eastAsia="仿宋_GB2312"/>
                <w:sz w:val="24"/>
              </w:rPr>
            </w:pP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3类客车</w:t>
            </w:r>
          </w:p>
        </w:tc>
        <w:tc>
          <w:tcPr>
            <w:tcW w:w="2491"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大型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≤39</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12</w:t>
            </w: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4类客车</w:t>
            </w:r>
          </w:p>
        </w:tc>
        <w:tc>
          <w:tcPr>
            <w:tcW w:w="2491" w:type="dxa"/>
            <w:vMerge w:val="continue"/>
            <w:vAlign w:val="center"/>
          </w:tcPr>
          <w:p>
            <w:pPr>
              <w:spacing w:line="580" w:lineRule="exact"/>
              <w:jc w:val="center"/>
              <w:rPr>
                <w:rFonts w:hint="eastAsia" w:ascii="仿宋_GB2312" w:eastAsia="仿宋_GB2312"/>
                <w:sz w:val="24"/>
              </w:rPr>
            </w:pP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≥40</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24</w:t>
            </w:r>
          </w:p>
        </w:tc>
      </w:tr>
    </w:tbl>
    <w:p>
      <w:pPr>
        <w:pStyle w:val="3"/>
        <w:spacing w:line="580" w:lineRule="exact"/>
        <w:rPr>
          <w:rFonts w:hint="eastAsia"/>
        </w:rPr>
      </w:pPr>
      <w:r>
        <w:rPr>
          <w:rFonts w:hint="eastAsia"/>
        </w:rPr>
        <w:t>（二）普通公路货车收费标准</w:t>
      </w:r>
    </w:p>
    <w:tbl>
      <w:tblPr>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5700"/>
        <w:gridCol w:w="1493"/>
      </w:tblGrid>
      <w:tr>
        <w:trPr>
          <w:trHeight w:val="680" w:hRule="atLeast"/>
          <w:tblHeader/>
          <w:jc w:val="center"/>
        </w:trPr>
        <w:tc>
          <w:tcPr>
            <w:tcW w:w="1150" w:type="dxa"/>
            <w:vAlign w:val="center"/>
          </w:tcPr>
          <w:p>
            <w:pPr>
              <w:snapToGrid w:val="0"/>
              <w:spacing w:line="580" w:lineRule="exact"/>
              <w:jc w:val="center"/>
              <w:rPr>
                <w:rFonts w:ascii="黑体" w:hAnsi="黑体" w:eastAsia="黑体"/>
                <w:sz w:val="24"/>
              </w:rPr>
            </w:pPr>
            <w:r>
              <w:rPr>
                <w:rFonts w:ascii="黑体" w:hAnsi="黑体" w:eastAsia="黑体"/>
                <w:sz w:val="24"/>
              </w:rPr>
              <w:t>车型</w:t>
            </w:r>
          </w:p>
          <w:p>
            <w:pPr>
              <w:snapToGrid w:val="0"/>
              <w:spacing w:line="580" w:lineRule="exact"/>
              <w:jc w:val="center"/>
              <w:rPr>
                <w:rFonts w:ascii="黑体" w:hAnsi="黑体" w:eastAsia="黑体"/>
                <w:sz w:val="24"/>
              </w:rPr>
            </w:pPr>
            <w:r>
              <w:rPr>
                <w:rFonts w:ascii="黑体" w:hAnsi="黑体" w:eastAsia="黑体"/>
                <w:sz w:val="24"/>
              </w:rPr>
              <w:t>分类</w:t>
            </w:r>
          </w:p>
        </w:tc>
        <w:tc>
          <w:tcPr>
            <w:tcW w:w="5700" w:type="dxa"/>
            <w:vAlign w:val="center"/>
          </w:tcPr>
          <w:p>
            <w:pPr>
              <w:snapToGrid w:val="0"/>
              <w:spacing w:line="580" w:lineRule="exact"/>
              <w:jc w:val="center"/>
              <w:rPr>
                <w:rFonts w:ascii="黑体" w:hAnsi="黑体" w:eastAsia="黑体"/>
                <w:sz w:val="24"/>
              </w:rPr>
            </w:pPr>
            <w:r>
              <w:rPr>
                <w:rFonts w:ascii="黑体" w:hAnsi="黑体" w:eastAsia="黑体"/>
                <w:sz w:val="24"/>
              </w:rPr>
              <w:t>JT/T489—2019分类标准</w:t>
            </w:r>
          </w:p>
        </w:tc>
        <w:tc>
          <w:tcPr>
            <w:tcW w:w="1493" w:type="dxa"/>
            <w:vAlign w:val="top"/>
          </w:tcPr>
          <w:p>
            <w:pPr>
              <w:snapToGrid w:val="0"/>
              <w:spacing w:line="580" w:lineRule="exact"/>
              <w:jc w:val="center"/>
              <w:rPr>
                <w:rFonts w:ascii="黑体" w:hAnsi="黑体" w:eastAsia="黑体"/>
                <w:sz w:val="24"/>
              </w:rPr>
            </w:pPr>
            <w:r>
              <w:rPr>
                <w:rFonts w:ascii="黑体" w:hAnsi="黑体" w:eastAsia="黑体"/>
                <w:sz w:val="24"/>
              </w:rPr>
              <w:t>收费标准</w:t>
            </w:r>
          </w:p>
          <w:p>
            <w:pPr>
              <w:snapToGrid w:val="0"/>
              <w:spacing w:line="580" w:lineRule="exact"/>
              <w:jc w:val="center"/>
              <w:rPr>
                <w:rFonts w:ascii="黑体" w:hAnsi="黑体" w:eastAsia="黑体"/>
                <w:sz w:val="24"/>
              </w:rPr>
            </w:pPr>
            <w:r>
              <w:rPr>
                <w:rFonts w:ascii="黑体" w:hAnsi="黑体" w:eastAsia="黑体"/>
                <w:sz w:val="24"/>
              </w:rPr>
              <w:t>（元/车次）</w:t>
            </w:r>
          </w:p>
        </w:tc>
      </w:tr>
      <w:tr>
        <w:trPr>
          <w:trHeight w:val="680" w:hRule="atLeast"/>
          <w:jc w:val="center"/>
        </w:trPr>
        <w:tc>
          <w:tcPr>
            <w:tcW w:w="115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第1类</w:t>
            </w:r>
          </w:p>
        </w:tc>
        <w:tc>
          <w:tcPr>
            <w:tcW w:w="5700" w:type="dxa"/>
            <w:vAlign w:val="center"/>
          </w:tcPr>
          <w:p>
            <w:pPr>
              <w:snapToGrid w:val="0"/>
              <w:spacing w:line="580" w:lineRule="exact"/>
              <w:rPr>
                <w:rFonts w:hint="eastAsia" w:ascii="仿宋_GB2312" w:eastAsia="仿宋_GB2312"/>
                <w:sz w:val="24"/>
              </w:rPr>
            </w:pPr>
            <w:r>
              <w:rPr>
                <w:rFonts w:hint="eastAsia" w:ascii="仿宋_GB2312" w:eastAsia="仿宋_GB2312"/>
                <w:sz w:val="24"/>
              </w:rPr>
              <w:t>2轴，车长小于6000mm且最大允许总质量小于4500kg</w:t>
            </w:r>
          </w:p>
        </w:tc>
        <w:tc>
          <w:tcPr>
            <w:tcW w:w="14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10</w:t>
            </w:r>
          </w:p>
        </w:tc>
      </w:tr>
      <w:tr>
        <w:trPr>
          <w:trHeight w:val="680" w:hRule="atLeast"/>
          <w:jc w:val="center"/>
        </w:trPr>
        <w:tc>
          <w:tcPr>
            <w:tcW w:w="115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第2类</w:t>
            </w:r>
          </w:p>
        </w:tc>
        <w:tc>
          <w:tcPr>
            <w:tcW w:w="5700" w:type="dxa"/>
            <w:vAlign w:val="center"/>
          </w:tcPr>
          <w:p>
            <w:pPr>
              <w:snapToGrid w:val="0"/>
              <w:spacing w:line="580" w:lineRule="exact"/>
              <w:rPr>
                <w:rFonts w:hint="eastAsia" w:ascii="仿宋_GB2312" w:eastAsia="仿宋_GB2312"/>
                <w:sz w:val="24"/>
              </w:rPr>
            </w:pPr>
            <w:r>
              <w:rPr>
                <w:rFonts w:hint="eastAsia" w:ascii="仿宋_GB2312" w:eastAsia="仿宋_GB2312"/>
                <w:sz w:val="24"/>
              </w:rPr>
              <w:t>2轴，车长不小于6000mm或最大允许总质量不小于4500kg</w:t>
            </w:r>
          </w:p>
        </w:tc>
        <w:tc>
          <w:tcPr>
            <w:tcW w:w="14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20</w:t>
            </w:r>
          </w:p>
        </w:tc>
      </w:tr>
      <w:tr>
        <w:trPr>
          <w:trHeight w:val="680" w:hRule="atLeast"/>
          <w:jc w:val="center"/>
        </w:trPr>
        <w:tc>
          <w:tcPr>
            <w:tcW w:w="115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第3类</w:t>
            </w:r>
          </w:p>
        </w:tc>
        <w:tc>
          <w:tcPr>
            <w:tcW w:w="570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3轴</w:t>
            </w:r>
          </w:p>
        </w:tc>
        <w:tc>
          <w:tcPr>
            <w:tcW w:w="14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30</w:t>
            </w:r>
          </w:p>
        </w:tc>
      </w:tr>
      <w:tr>
        <w:trPr>
          <w:trHeight w:val="680" w:hRule="atLeast"/>
          <w:jc w:val="center"/>
        </w:trPr>
        <w:tc>
          <w:tcPr>
            <w:tcW w:w="115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第4类</w:t>
            </w:r>
          </w:p>
        </w:tc>
        <w:tc>
          <w:tcPr>
            <w:tcW w:w="570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4轴</w:t>
            </w:r>
          </w:p>
        </w:tc>
        <w:tc>
          <w:tcPr>
            <w:tcW w:w="1493" w:type="dxa"/>
            <w:tcBorders>
              <w:bottom w:val="single" w:color="auto" w:sz="4" w:space="0"/>
            </w:tcBorders>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40</w:t>
            </w:r>
          </w:p>
        </w:tc>
      </w:tr>
      <w:tr>
        <w:trPr>
          <w:trHeight w:val="680" w:hRule="atLeast"/>
          <w:jc w:val="center"/>
        </w:trPr>
        <w:tc>
          <w:tcPr>
            <w:tcW w:w="115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第5类</w:t>
            </w:r>
          </w:p>
        </w:tc>
        <w:tc>
          <w:tcPr>
            <w:tcW w:w="570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5轴</w:t>
            </w:r>
          </w:p>
        </w:tc>
        <w:tc>
          <w:tcPr>
            <w:tcW w:w="14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50</w:t>
            </w:r>
          </w:p>
        </w:tc>
      </w:tr>
      <w:tr>
        <w:trPr>
          <w:trHeight w:val="680" w:hRule="atLeast"/>
          <w:jc w:val="center"/>
        </w:trPr>
        <w:tc>
          <w:tcPr>
            <w:tcW w:w="115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第6类</w:t>
            </w:r>
          </w:p>
        </w:tc>
        <w:tc>
          <w:tcPr>
            <w:tcW w:w="570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6轴</w:t>
            </w:r>
          </w:p>
        </w:tc>
        <w:tc>
          <w:tcPr>
            <w:tcW w:w="14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60</w:t>
            </w:r>
          </w:p>
        </w:tc>
      </w:tr>
      <w:tr>
        <w:trPr>
          <w:trHeight w:val="680" w:hRule="atLeast"/>
          <w:jc w:val="center"/>
        </w:trPr>
        <w:tc>
          <w:tcPr>
            <w:tcW w:w="8343" w:type="dxa"/>
            <w:gridSpan w:val="3"/>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6轴以上货车的收费标准，在第6类货车收费标准基础上，每增加一轴，收费标准按10元/车次递增，10轴及以上货车按10轴货车收费标准执行。</w:t>
            </w:r>
          </w:p>
        </w:tc>
      </w:tr>
    </w:tbl>
    <w:p>
      <w:pPr>
        <w:pStyle w:val="3"/>
        <w:spacing w:line="580" w:lineRule="exact"/>
        <w:rPr>
          <w:rFonts w:hint="eastAsia"/>
        </w:rPr>
      </w:pPr>
      <w:r>
        <w:rPr>
          <w:rFonts w:hint="eastAsia"/>
        </w:rPr>
        <w:t>（三）普通公路专项作业车收费标准</w:t>
      </w:r>
    </w:p>
    <w:p>
      <w:pPr>
        <w:spacing w:line="580" w:lineRule="exact"/>
        <w:ind w:firstLine="640" w:firstLineChars="200"/>
        <w:jc w:val="left"/>
        <w:rPr>
          <w:rFonts w:hint="eastAsia" w:ascii="仿宋_GB2312" w:eastAsia="仿宋_GB2312"/>
          <w:sz w:val="32"/>
          <w:szCs w:val="32"/>
        </w:rPr>
      </w:pPr>
      <w:r>
        <w:rPr>
          <w:rFonts w:hint="eastAsia" w:ascii="仿宋_GB2312" w:eastAsia="仿宋_GB2312"/>
          <w:sz w:val="32"/>
          <w:szCs w:val="32"/>
        </w:rPr>
        <w:t>普通公路专项作业车收费标准按同类型货车收费标准执行。</w:t>
      </w:r>
    </w:p>
    <w:p>
      <w:pPr>
        <w:pStyle w:val="2"/>
        <w:spacing w:line="580" w:lineRule="exact"/>
        <w:rPr>
          <w:rFonts w:hint="eastAsia"/>
        </w:rPr>
      </w:pPr>
      <w:r>
        <w:rPr>
          <w:rFonts w:hint="eastAsia"/>
        </w:rPr>
        <w:t>三、长江公路大桥收费标准</w:t>
      </w:r>
    </w:p>
    <w:p>
      <w:pPr>
        <w:pStyle w:val="3"/>
        <w:spacing w:line="580" w:lineRule="exact"/>
        <w:rPr>
          <w:rFonts w:hint="eastAsia"/>
        </w:rPr>
      </w:pPr>
      <w:r>
        <w:rPr>
          <w:rFonts w:hint="eastAsia"/>
        </w:rPr>
        <w:t>（一）</w:t>
      </w:r>
      <w:r>
        <w:t>长江公路大桥</w:t>
      </w:r>
      <w:r>
        <w:rPr>
          <w:rFonts w:hint="eastAsia"/>
        </w:rPr>
        <w:t>客车</w:t>
      </w:r>
      <w:r>
        <w:t>收费标准</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沿用现行客车收费标准。按照《收费公路车辆通行费车型分类》关于客车车型分类的相关规定，从2020年1月1日起，将8、9座客车由“2类”调整为“1类”，执行1类客车收费标准。</w:t>
      </w:r>
    </w:p>
    <w:p>
      <w:pPr>
        <w:spacing w:line="580" w:lineRule="exact"/>
        <w:jc w:val="center"/>
        <w:rPr>
          <w:rFonts w:hint="eastAsia" w:ascii="黑体" w:hAnsi="黑体" w:eastAsia="黑体"/>
          <w:sz w:val="24"/>
        </w:rPr>
      </w:pPr>
      <w:r>
        <w:rPr>
          <w:rFonts w:hint="eastAsia" w:ascii="黑体" w:hAnsi="黑体" w:eastAsia="黑体"/>
          <w:sz w:val="24"/>
        </w:rPr>
        <w:t>马鞍山长江公路大桥客车收费标准</w:t>
      </w:r>
    </w:p>
    <w:tbl>
      <w:tblPr>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16"/>
        <w:gridCol w:w="1416"/>
        <w:gridCol w:w="1536"/>
        <w:gridCol w:w="1536"/>
        <w:gridCol w:w="1543"/>
      </w:tblGrid>
      <w:tr>
        <w:trPr>
          <w:trHeight w:val="734" w:hRule="atLeast"/>
          <w:tblHeader/>
          <w:jc w:val="center"/>
        </w:trPr>
        <w:tc>
          <w:tcPr>
            <w:tcW w:w="993" w:type="dxa"/>
            <w:vAlign w:val="center"/>
          </w:tcPr>
          <w:p>
            <w:pPr>
              <w:snapToGrid w:val="0"/>
              <w:spacing w:line="580" w:lineRule="exact"/>
              <w:jc w:val="center"/>
              <w:rPr>
                <w:rFonts w:ascii="黑体" w:hAnsi="黑体" w:eastAsia="黑体"/>
                <w:sz w:val="24"/>
              </w:rPr>
            </w:pPr>
            <w:r>
              <w:rPr>
                <w:rFonts w:ascii="黑体" w:hAnsi="黑体" w:eastAsia="黑体"/>
                <w:sz w:val="24"/>
              </w:rPr>
              <w:t>车型</w:t>
            </w:r>
          </w:p>
          <w:p>
            <w:pPr>
              <w:snapToGrid w:val="0"/>
              <w:spacing w:line="580" w:lineRule="exact"/>
              <w:jc w:val="center"/>
              <w:rPr>
                <w:rFonts w:ascii="黑体" w:hAnsi="黑体" w:eastAsia="黑体"/>
                <w:sz w:val="24"/>
              </w:rPr>
            </w:pPr>
            <w:r>
              <w:rPr>
                <w:rFonts w:ascii="黑体" w:hAnsi="黑体" w:eastAsia="黑体"/>
                <w:sz w:val="24"/>
              </w:rPr>
              <w:t>分类</w:t>
            </w:r>
          </w:p>
        </w:tc>
        <w:tc>
          <w:tcPr>
            <w:tcW w:w="1416" w:type="dxa"/>
            <w:vAlign w:val="center"/>
          </w:tcPr>
          <w:p>
            <w:pPr>
              <w:spacing w:line="580" w:lineRule="exact"/>
              <w:jc w:val="center"/>
              <w:rPr>
                <w:rFonts w:hint="eastAsia" w:ascii="黑体" w:hAnsi="黑体" w:eastAsia="黑体"/>
                <w:sz w:val="24"/>
              </w:rPr>
            </w:pPr>
            <w:r>
              <w:rPr>
                <w:rFonts w:hint="eastAsia" w:ascii="黑体" w:hAnsi="黑体" w:eastAsia="黑体"/>
                <w:sz w:val="24"/>
              </w:rPr>
              <w:t>车辆类型</w:t>
            </w:r>
          </w:p>
        </w:tc>
        <w:tc>
          <w:tcPr>
            <w:tcW w:w="1416" w:type="dxa"/>
            <w:vAlign w:val="center"/>
          </w:tcPr>
          <w:p>
            <w:pPr>
              <w:spacing w:line="580" w:lineRule="exact"/>
              <w:jc w:val="center"/>
              <w:rPr>
                <w:rFonts w:hint="eastAsia" w:ascii="黑体" w:hAnsi="黑体" w:eastAsia="黑体"/>
                <w:sz w:val="24"/>
              </w:rPr>
            </w:pPr>
            <w:r>
              <w:rPr>
                <w:rFonts w:hint="eastAsia" w:ascii="黑体" w:hAnsi="黑体" w:eastAsia="黑体"/>
                <w:sz w:val="24"/>
              </w:rPr>
              <w:t>核定载人数</w:t>
            </w:r>
          </w:p>
        </w:tc>
        <w:tc>
          <w:tcPr>
            <w:tcW w:w="1536" w:type="dxa"/>
            <w:vAlign w:val="center"/>
          </w:tcPr>
          <w:p>
            <w:pPr>
              <w:snapToGrid w:val="0"/>
              <w:spacing w:line="580" w:lineRule="exact"/>
              <w:jc w:val="center"/>
              <w:rPr>
                <w:rFonts w:ascii="黑体" w:hAnsi="黑体" w:eastAsia="黑体"/>
                <w:sz w:val="24"/>
              </w:rPr>
            </w:pPr>
            <w:r>
              <w:rPr>
                <w:rFonts w:ascii="黑体" w:hAnsi="黑体" w:eastAsia="黑体"/>
                <w:sz w:val="24"/>
              </w:rPr>
              <w:t>全程</w:t>
            </w:r>
          </w:p>
          <w:p>
            <w:pPr>
              <w:snapToGrid w:val="0"/>
              <w:spacing w:line="580" w:lineRule="exact"/>
              <w:jc w:val="center"/>
              <w:rPr>
                <w:rFonts w:ascii="黑体" w:hAnsi="黑体" w:eastAsia="黑体"/>
                <w:sz w:val="24"/>
              </w:rPr>
            </w:pPr>
            <w:r>
              <w:rPr>
                <w:rFonts w:ascii="黑体" w:hAnsi="黑体" w:eastAsia="黑体"/>
                <w:sz w:val="24"/>
              </w:rPr>
              <w:t>（元/车次）</w:t>
            </w:r>
          </w:p>
        </w:tc>
        <w:tc>
          <w:tcPr>
            <w:tcW w:w="1536" w:type="dxa"/>
            <w:vAlign w:val="center"/>
          </w:tcPr>
          <w:p>
            <w:pPr>
              <w:snapToGrid w:val="0"/>
              <w:spacing w:line="580" w:lineRule="exact"/>
              <w:jc w:val="center"/>
              <w:rPr>
                <w:rFonts w:ascii="黑体" w:hAnsi="黑体" w:eastAsia="黑体"/>
                <w:sz w:val="24"/>
              </w:rPr>
            </w:pPr>
            <w:r>
              <w:rPr>
                <w:rFonts w:ascii="黑体" w:hAnsi="黑体" w:eastAsia="黑体"/>
                <w:sz w:val="24"/>
              </w:rPr>
              <w:t>左汊</w:t>
            </w:r>
          </w:p>
          <w:p>
            <w:pPr>
              <w:snapToGrid w:val="0"/>
              <w:spacing w:line="580" w:lineRule="exact"/>
              <w:jc w:val="center"/>
              <w:rPr>
                <w:rFonts w:ascii="黑体" w:hAnsi="黑体" w:eastAsia="黑体"/>
                <w:sz w:val="24"/>
              </w:rPr>
            </w:pPr>
            <w:r>
              <w:rPr>
                <w:rFonts w:ascii="黑体" w:hAnsi="黑体" w:eastAsia="黑体"/>
                <w:sz w:val="24"/>
              </w:rPr>
              <w:t>（元/车次）</w:t>
            </w:r>
          </w:p>
        </w:tc>
        <w:tc>
          <w:tcPr>
            <w:tcW w:w="1543" w:type="dxa"/>
            <w:vAlign w:val="center"/>
          </w:tcPr>
          <w:p>
            <w:pPr>
              <w:snapToGrid w:val="0"/>
              <w:spacing w:line="580" w:lineRule="exact"/>
              <w:jc w:val="center"/>
              <w:rPr>
                <w:rFonts w:ascii="黑体" w:hAnsi="黑体" w:eastAsia="黑体"/>
                <w:sz w:val="24"/>
              </w:rPr>
            </w:pPr>
            <w:r>
              <w:rPr>
                <w:rFonts w:ascii="黑体" w:hAnsi="黑体" w:eastAsia="黑体"/>
                <w:sz w:val="24"/>
              </w:rPr>
              <w:t>右汊</w:t>
            </w:r>
          </w:p>
          <w:p>
            <w:pPr>
              <w:snapToGrid w:val="0"/>
              <w:spacing w:line="580" w:lineRule="exact"/>
              <w:jc w:val="center"/>
              <w:rPr>
                <w:rFonts w:ascii="黑体" w:hAnsi="黑体" w:eastAsia="黑体"/>
                <w:sz w:val="24"/>
              </w:rPr>
            </w:pPr>
            <w:r>
              <w:rPr>
                <w:rFonts w:ascii="黑体" w:hAnsi="黑体" w:eastAsia="黑体"/>
                <w:sz w:val="24"/>
              </w:rPr>
              <w:t>（元/车次）</w:t>
            </w:r>
          </w:p>
        </w:tc>
      </w:tr>
      <w:tr>
        <w:trPr>
          <w:trHeight w:val="624" w:hRule="atLeast"/>
          <w:jc w:val="center"/>
        </w:trPr>
        <w:tc>
          <w:tcPr>
            <w:tcW w:w="9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第1类</w:t>
            </w: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微型、小型</w:t>
            </w: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≤9</w:t>
            </w:r>
          </w:p>
        </w:tc>
        <w:tc>
          <w:tcPr>
            <w:tcW w:w="1536"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30</w:t>
            </w:r>
          </w:p>
        </w:tc>
        <w:tc>
          <w:tcPr>
            <w:tcW w:w="1536"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25 </w:t>
            </w:r>
          </w:p>
        </w:tc>
        <w:tc>
          <w:tcPr>
            <w:tcW w:w="154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w:t>
            </w:r>
          </w:p>
        </w:tc>
      </w:tr>
      <w:tr>
        <w:trPr>
          <w:trHeight w:val="624" w:hRule="atLeast"/>
          <w:jc w:val="center"/>
        </w:trPr>
        <w:tc>
          <w:tcPr>
            <w:tcW w:w="993" w:type="dxa"/>
            <w:vMerge w:val="restart"/>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第2类</w:t>
            </w: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中型</w:t>
            </w: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10-19</w:t>
            </w:r>
          </w:p>
        </w:tc>
        <w:tc>
          <w:tcPr>
            <w:tcW w:w="1536" w:type="dxa"/>
            <w:vMerge w:val="restart"/>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40</w:t>
            </w:r>
          </w:p>
        </w:tc>
        <w:tc>
          <w:tcPr>
            <w:tcW w:w="1536" w:type="dxa"/>
            <w:vMerge w:val="restart"/>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30</w:t>
            </w:r>
          </w:p>
        </w:tc>
        <w:tc>
          <w:tcPr>
            <w:tcW w:w="1543" w:type="dxa"/>
            <w:vMerge w:val="restart"/>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10</w:t>
            </w:r>
          </w:p>
        </w:tc>
      </w:tr>
      <w:tr>
        <w:trPr>
          <w:trHeight w:val="680" w:hRule="atLeast"/>
          <w:jc w:val="center"/>
        </w:trPr>
        <w:tc>
          <w:tcPr>
            <w:tcW w:w="993" w:type="dxa"/>
            <w:vMerge w:val="continue"/>
            <w:vAlign w:val="center"/>
          </w:tcPr>
          <w:p>
            <w:pPr>
              <w:snapToGrid w:val="0"/>
              <w:spacing w:line="580" w:lineRule="exact"/>
              <w:jc w:val="center"/>
              <w:rPr>
                <w:rFonts w:hint="eastAsia" w:ascii="仿宋_GB2312" w:eastAsia="仿宋_GB2312"/>
                <w:sz w:val="24"/>
              </w:rPr>
            </w:pP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乘用车列车</w:t>
            </w: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w:t>
            </w:r>
          </w:p>
        </w:tc>
        <w:tc>
          <w:tcPr>
            <w:tcW w:w="1536" w:type="dxa"/>
            <w:vMerge w:val="continue"/>
            <w:vAlign w:val="center"/>
          </w:tcPr>
          <w:p>
            <w:pPr>
              <w:snapToGrid w:val="0"/>
              <w:spacing w:line="580" w:lineRule="exact"/>
              <w:jc w:val="center"/>
              <w:rPr>
                <w:rFonts w:hint="eastAsia" w:ascii="仿宋_GB2312" w:eastAsia="仿宋_GB2312"/>
                <w:sz w:val="24"/>
              </w:rPr>
            </w:pPr>
          </w:p>
        </w:tc>
        <w:tc>
          <w:tcPr>
            <w:tcW w:w="1536" w:type="dxa"/>
            <w:vMerge w:val="continue"/>
            <w:vAlign w:val="center"/>
          </w:tcPr>
          <w:p>
            <w:pPr>
              <w:snapToGrid w:val="0"/>
              <w:spacing w:line="580" w:lineRule="exact"/>
              <w:jc w:val="center"/>
              <w:rPr>
                <w:rFonts w:hint="eastAsia" w:ascii="仿宋_GB2312" w:eastAsia="仿宋_GB2312"/>
                <w:sz w:val="24"/>
              </w:rPr>
            </w:pPr>
          </w:p>
        </w:tc>
        <w:tc>
          <w:tcPr>
            <w:tcW w:w="1543" w:type="dxa"/>
            <w:vMerge w:val="continue"/>
            <w:vAlign w:val="center"/>
          </w:tcPr>
          <w:p>
            <w:pPr>
              <w:snapToGrid w:val="0"/>
              <w:spacing w:line="580" w:lineRule="exact"/>
              <w:jc w:val="center"/>
              <w:rPr>
                <w:rFonts w:hint="eastAsia" w:ascii="仿宋_GB2312" w:eastAsia="仿宋_GB2312"/>
                <w:sz w:val="24"/>
              </w:rPr>
            </w:pPr>
          </w:p>
        </w:tc>
      </w:tr>
      <w:tr>
        <w:trPr>
          <w:trHeight w:val="680" w:hRule="atLeast"/>
          <w:jc w:val="center"/>
        </w:trPr>
        <w:tc>
          <w:tcPr>
            <w:tcW w:w="9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第3类</w:t>
            </w:r>
          </w:p>
        </w:tc>
        <w:tc>
          <w:tcPr>
            <w:tcW w:w="1416"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大型</w:t>
            </w: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≤39</w:t>
            </w:r>
          </w:p>
        </w:tc>
        <w:tc>
          <w:tcPr>
            <w:tcW w:w="1536"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60</w:t>
            </w:r>
          </w:p>
        </w:tc>
        <w:tc>
          <w:tcPr>
            <w:tcW w:w="1536"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45</w:t>
            </w:r>
          </w:p>
        </w:tc>
        <w:tc>
          <w:tcPr>
            <w:tcW w:w="154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15</w:t>
            </w:r>
          </w:p>
        </w:tc>
      </w:tr>
      <w:tr>
        <w:trPr>
          <w:trHeight w:val="680" w:hRule="atLeast"/>
          <w:jc w:val="center"/>
        </w:trPr>
        <w:tc>
          <w:tcPr>
            <w:tcW w:w="99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第4类</w:t>
            </w:r>
          </w:p>
        </w:tc>
        <w:tc>
          <w:tcPr>
            <w:tcW w:w="1416" w:type="dxa"/>
            <w:vMerge w:val="continue"/>
            <w:vAlign w:val="center"/>
          </w:tcPr>
          <w:p>
            <w:pPr>
              <w:spacing w:line="580" w:lineRule="exact"/>
              <w:jc w:val="center"/>
              <w:rPr>
                <w:rFonts w:hint="eastAsia" w:ascii="仿宋_GB2312" w:eastAsia="仿宋_GB2312"/>
                <w:sz w:val="24"/>
              </w:rPr>
            </w:pPr>
          </w:p>
        </w:tc>
        <w:tc>
          <w:tcPr>
            <w:tcW w:w="1416" w:type="dxa"/>
            <w:vAlign w:val="center"/>
          </w:tcPr>
          <w:p>
            <w:pPr>
              <w:spacing w:line="580" w:lineRule="exact"/>
              <w:jc w:val="center"/>
              <w:rPr>
                <w:rFonts w:hint="eastAsia" w:ascii="仿宋_GB2312" w:eastAsia="仿宋_GB2312"/>
                <w:sz w:val="24"/>
              </w:rPr>
            </w:pPr>
            <w:r>
              <w:rPr>
                <w:rFonts w:hint="eastAsia" w:ascii="仿宋_GB2312" w:eastAsia="仿宋_GB2312"/>
                <w:sz w:val="24"/>
              </w:rPr>
              <w:t>≥40</w:t>
            </w:r>
          </w:p>
        </w:tc>
        <w:tc>
          <w:tcPr>
            <w:tcW w:w="1536"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80</w:t>
            </w:r>
          </w:p>
        </w:tc>
        <w:tc>
          <w:tcPr>
            <w:tcW w:w="1536"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60</w:t>
            </w:r>
          </w:p>
        </w:tc>
        <w:tc>
          <w:tcPr>
            <w:tcW w:w="1543"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20</w:t>
            </w:r>
          </w:p>
        </w:tc>
      </w:tr>
    </w:tbl>
    <w:p>
      <w:pPr>
        <w:spacing w:line="580" w:lineRule="exact"/>
        <w:jc w:val="center"/>
        <w:rPr>
          <w:rFonts w:hint="eastAsia" w:ascii="黑体" w:hAnsi="黑体" w:eastAsia="黑体"/>
          <w:sz w:val="24"/>
        </w:rPr>
      </w:pPr>
      <w:r>
        <w:rPr>
          <w:rFonts w:hint="eastAsia" w:ascii="黑体" w:hAnsi="黑体" w:eastAsia="黑体"/>
          <w:sz w:val="24"/>
        </w:rPr>
        <w:t>其它长江公路大桥客车收费标准</w:t>
      </w:r>
    </w:p>
    <w:tbl>
      <w:tblPr>
        <w:tblW w:w="7828"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491"/>
        <w:gridCol w:w="2201"/>
        <w:gridCol w:w="2064"/>
      </w:tblGrid>
      <w:tr>
        <w:tc>
          <w:tcPr>
            <w:tcW w:w="1072" w:type="dxa"/>
            <w:vAlign w:val="center"/>
          </w:tcPr>
          <w:p>
            <w:pPr>
              <w:spacing w:line="580" w:lineRule="exact"/>
              <w:jc w:val="center"/>
              <w:rPr>
                <w:rFonts w:hint="eastAsia" w:ascii="黑体" w:hAnsi="黑体" w:eastAsia="黑体"/>
                <w:sz w:val="24"/>
              </w:rPr>
            </w:pPr>
            <w:r>
              <w:rPr>
                <w:rFonts w:hint="eastAsia" w:ascii="黑体" w:hAnsi="黑体" w:eastAsia="黑体"/>
                <w:sz w:val="24"/>
              </w:rPr>
              <w:t>类别</w:t>
            </w:r>
          </w:p>
        </w:tc>
        <w:tc>
          <w:tcPr>
            <w:tcW w:w="2491" w:type="dxa"/>
            <w:vAlign w:val="center"/>
          </w:tcPr>
          <w:p>
            <w:pPr>
              <w:spacing w:line="580" w:lineRule="exact"/>
              <w:jc w:val="center"/>
              <w:rPr>
                <w:rFonts w:hint="eastAsia" w:ascii="黑体" w:hAnsi="黑体" w:eastAsia="黑体"/>
                <w:sz w:val="24"/>
              </w:rPr>
            </w:pPr>
            <w:r>
              <w:rPr>
                <w:rFonts w:hint="eastAsia" w:ascii="黑体" w:hAnsi="黑体" w:eastAsia="黑体"/>
                <w:sz w:val="24"/>
              </w:rPr>
              <w:t>车辆类型</w:t>
            </w:r>
          </w:p>
        </w:tc>
        <w:tc>
          <w:tcPr>
            <w:tcW w:w="2201" w:type="dxa"/>
            <w:vAlign w:val="center"/>
          </w:tcPr>
          <w:p>
            <w:pPr>
              <w:spacing w:line="580" w:lineRule="exact"/>
              <w:jc w:val="center"/>
              <w:rPr>
                <w:rFonts w:hint="eastAsia" w:ascii="黑体" w:hAnsi="黑体" w:eastAsia="黑体"/>
                <w:sz w:val="24"/>
              </w:rPr>
            </w:pPr>
            <w:r>
              <w:rPr>
                <w:rFonts w:hint="eastAsia" w:ascii="黑体" w:hAnsi="黑体" w:eastAsia="黑体"/>
                <w:sz w:val="24"/>
              </w:rPr>
              <w:t>核定载人数</w:t>
            </w:r>
          </w:p>
        </w:tc>
        <w:tc>
          <w:tcPr>
            <w:tcW w:w="2064" w:type="dxa"/>
            <w:vAlign w:val="center"/>
          </w:tcPr>
          <w:p>
            <w:pPr>
              <w:spacing w:line="580" w:lineRule="exact"/>
              <w:jc w:val="center"/>
              <w:rPr>
                <w:rFonts w:hint="eastAsia" w:ascii="黑体" w:hAnsi="黑体" w:eastAsia="黑体"/>
                <w:sz w:val="24"/>
              </w:rPr>
            </w:pPr>
            <w:r>
              <w:rPr>
                <w:rFonts w:hint="eastAsia" w:ascii="黑体" w:hAnsi="黑体" w:eastAsia="黑体"/>
                <w:sz w:val="24"/>
              </w:rPr>
              <w:t>收费标准</w:t>
            </w:r>
          </w:p>
          <w:p>
            <w:pPr>
              <w:spacing w:line="580" w:lineRule="exact"/>
              <w:jc w:val="center"/>
              <w:rPr>
                <w:rFonts w:hint="eastAsia" w:ascii="黑体" w:hAnsi="黑体" w:eastAsia="黑体"/>
                <w:sz w:val="24"/>
              </w:rPr>
            </w:pPr>
            <w:r>
              <w:rPr>
                <w:rFonts w:hint="eastAsia" w:ascii="黑体" w:hAnsi="黑体" w:eastAsia="黑体"/>
                <w:sz w:val="24"/>
              </w:rPr>
              <w:t>（元/车次）</w:t>
            </w: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1类客车</w:t>
            </w: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微型、小型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≤9</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20</w:t>
            </w:r>
          </w:p>
        </w:tc>
      </w:tr>
      <w:tr>
        <w:tc>
          <w:tcPr>
            <w:tcW w:w="1072"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2类客车</w:t>
            </w: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中型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10-19</w:t>
            </w:r>
          </w:p>
        </w:tc>
        <w:tc>
          <w:tcPr>
            <w:tcW w:w="2064"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40</w:t>
            </w:r>
          </w:p>
        </w:tc>
      </w:tr>
      <w:tr>
        <w:tc>
          <w:tcPr>
            <w:tcW w:w="1072" w:type="dxa"/>
            <w:vMerge w:val="continue"/>
            <w:vAlign w:val="center"/>
          </w:tcPr>
          <w:p>
            <w:pPr>
              <w:spacing w:line="580" w:lineRule="exact"/>
              <w:jc w:val="center"/>
              <w:rPr>
                <w:rFonts w:hint="eastAsia" w:ascii="仿宋_GB2312" w:eastAsia="仿宋_GB2312"/>
                <w:sz w:val="24"/>
              </w:rPr>
            </w:pPr>
          </w:p>
        </w:tc>
        <w:tc>
          <w:tcPr>
            <w:tcW w:w="2491" w:type="dxa"/>
            <w:vAlign w:val="center"/>
          </w:tcPr>
          <w:p>
            <w:pPr>
              <w:spacing w:line="580" w:lineRule="exact"/>
              <w:jc w:val="center"/>
              <w:rPr>
                <w:rFonts w:hint="eastAsia" w:ascii="仿宋_GB2312" w:eastAsia="仿宋_GB2312"/>
                <w:sz w:val="24"/>
              </w:rPr>
            </w:pPr>
            <w:r>
              <w:rPr>
                <w:rFonts w:hint="eastAsia" w:ascii="仿宋_GB2312" w:eastAsia="仿宋_GB2312"/>
                <w:sz w:val="24"/>
              </w:rPr>
              <w:t>乘用车列车</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w:t>
            </w:r>
          </w:p>
        </w:tc>
        <w:tc>
          <w:tcPr>
            <w:tcW w:w="2064" w:type="dxa"/>
            <w:vMerge w:val="continue"/>
            <w:vAlign w:val="center"/>
          </w:tcPr>
          <w:p>
            <w:pPr>
              <w:spacing w:line="580" w:lineRule="exact"/>
              <w:jc w:val="center"/>
              <w:rPr>
                <w:rFonts w:hint="eastAsia" w:ascii="仿宋_GB2312" w:eastAsia="仿宋_GB2312"/>
                <w:sz w:val="24"/>
              </w:rPr>
            </w:pP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3类客车</w:t>
            </w:r>
          </w:p>
        </w:tc>
        <w:tc>
          <w:tcPr>
            <w:tcW w:w="2491" w:type="dxa"/>
            <w:vMerge w:val="restart"/>
            <w:vAlign w:val="center"/>
          </w:tcPr>
          <w:p>
            <w:pPr>
              <w:spacing w:line="580" w:lineRule="exact"/>
              <w:jc w:val="center"/>
              <w:rPr>
                <w:rFonts w:hint="eastAsia" w:ascii="仿宋_GB2312" w:eastAsia="仿宋_GB2312"/>
                <w:sz w:val="24"/>
              </w:rPr>
            </w:pPr>
            <w:r>
              <w:rPr>
                <w:rFonts w:hint="eastAsia" w:ascii="仿宋_GB2312" w:eastAsia="仿宋_GB2312"/>
                <w:sz w:val="24"/>
              </w:rPr>
              <w:t>大型</w:t>
            </w: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≤39</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60</w:t>
            </w:r>
          </w:p>
        </w:tc>
      </w:tr>
      <w:tr>
        <w:tc>
          <w:tcPr>
            <w:tcW w:w="1072" w:type="dxa"/>
            <w:vAlign w:val="center"/>
          </w:tcPr>
          <w:p>
            <w:pPr>
              <w:spacing w:line="580" w:lineRule="exact"/>
              <w:jc w:val="center"/>
              <w:rPr>
                <w:rFonts w:hint="eastAsia" w:ascii="仿宋_GB2312" w:eastAsia="仿宋_GB2312"/>
                <w:sz w:val="24"/>
              </w:rPr>
            </w:pPr>
            <w:r>
              <w:rPr>
                <w:rFonts w:hint="eastAsia" w:ascii="仿宋_GB2312" w:eastAsia="仿宋_GB2312"/>
                <w:sz w:val="24"/>
              </w:rPr>
              <w:t>4类客车</w:t>
            </w:r>
          </w:p>
        </w:tc>
        <w:tc>
          <w:tcPr>
            <w:tcW w:w="2491" w:type="dxa"/>
            <w:vMerge w:val="continue"/>
            <w:vAlign w:val="center"/>
          </w:tcPr>
          <w:p>
            <w:pPr>
              <w:spacing w:line="580" w:lineRule="exact"/>
              <w:jc w:val="center"/>
              <w:rPr>
                <w:rFonts w:hint="eastAsia" w:ascii="仿宋_GB2312" w:eastAsia="仿宋_GB2312"/>
                <w:sz w:val="24"/>
              </w:rPr>
            </w:pPr>
          </w:p>
        </w:tc>
        <w:tc>
          <w:tcPr>
            <w:tcW w:w="2201" w:type="dxa"/>
            <w:vAlign w:val="center"/>
          </w:tcPr>
          <w:p>
            <w:pPr>
              <w:spacing w:line="580" w:lineRule="exact"/>
              <w:jc w:val="center"/>
              <w:rPr>
                <w:rFonts w:hint="eastAsia" w:ascii="仿宋_GB2312" w:eastAsia="仿宋_GB2312"/>
                <w:sz w:val="24"/>
              </w:rPr>
            </w:pPr>
            <w:r>
              <w:rPr>
                <w:rFonts w:hint="eastAsia" w:ascii="仿宋_GB2312" w:eastAsia="仿宋_GB2312"/>
                <w:sz w:val="24"/>
              </w:rPr>
              <w:t>≥40</w:t>
            </w:r>
          </w:p>
        </w:tc>
        <w:tc>
          <w:tcPr>
            <w:tcW w:w="2064" w:type="dxa"/>
            <w:vAlign w:val="center"/>
          </w:tcPr>
          <w:p>
            <w:pPr>
              <w:spacing w:line="580" w:lineRule="exact"/>
              <w:jc w:val="center"/>
              <w:rPr>
                <w:rFonts w:hint="eastAsia" w:ascii="仿宋_GB2312" w:eastAsia="仿宋_GB2312"/>
                <w:sz w:val="24"/>
              </w:rPr>
            </w:pPr>
            <w:r>
              <w:rPr>
                <w:rFonts w:hint="eastAsia" w:ascii="仿宋_GB2312" w:eastAsia="仿宋_GB2312"/>
                <w:sz w:val="24"/>
              </w:rPr>
              <w:t>80</w:t>
            </w:r>
          </w:p>
        </w:tc>
      </w:tr>
    </w:tbl>
    <w:p>
      <w:pPr>
        <w:pStyle w:val="3"/>
        <w:spacing w:line="580" w:lineRule="exact"/>
        <w:rPr>
          <w:rFonts w:hint="eastAsia"/>
        </w:rPr>
      </w:pPr>
      <w:r>
        <w:rPr>
          <w:rFonts w:hint="eastAsia"/>
        </w:rPr>
        <w:t>（二）</w:t>
      </w:r>
      <w:r>
        <w:t>马鞍山长江公路大桥</w:t>
      </w:r>
      <w:r>
        <w:rPr>
          <w:rFonts w:hint="eastAsia"/>
        </w:rPr>
        <w:t>货车</w:t>
      </w:r>
      <w:r>
        <w:t>收费标准</w:t>
      </w:r>
    </w:p>
    <w:tbl>
      <w:tblPr>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3405"/>
        <w:gridCol w:w="1380"/>
        <w:gridCol w:w="1395"/>
        <w:gridCol w:w="1425"/>
      </w:tblGrid>
      <w:tr>
        <w:trPr>
          <w:trHeight w:val="734" w:hRule="atLeast"/>
          <w:tblHeader/>
          <w:jc w:val="center"/>
        </w:trPr>
        <w:tc>
          <w:tcPr>
            <w:tcW w:w="930" w:type="dxa"/>
            <w:vAlign w:val="center"/>
          </w:tcPr>
          <w:p>
            <w:pPr>
              <w:snapToGrid w:val="0"/>
              <w:spacing w:line="580" w:lineRule="exact"/>
              <w:jc w:val="center"/>
              <w:rPr>
                <w:rFonts w:ascii="黑体" w:hAnsi="黑体" w:eastAsia="黑体"/>
                <w:sz w:val="24"/>
              </w:rPr>
            </w:pPr>
            <w:r>
              <w:rPr>
                <w:rFonts w:ascii="黑体" w:hAnsi="黑体" w:eastAsia="黑体"/>
                <w:sz w:val="24"/>
              </w:rPr>
              <w:t>车型</w:t>
            </w:r>
          </w:p>
          <w:p>
            <w:pPr>
              <w:snapToGrid w:val="0"/>
              <w:spacing w:line="580" w:lineRule="exact"/>
              <w:jc w:val="center"/>
              <w:rPr>
                <w:rFonts w:ascii="黑体" w:hAnsi="黑体" w:eastAsia="黑体"/>
                <w:sz w:val="24"/>
              </w:rPr>
            </w:pPr>
            <w:r>
              <w:rPr>
                <w:rFonts w:ascii="黑体" w:hAnsi="黑体" w:eastAsia="黑体"/>
                <w:sz w:val="24"/>
              </w:rPr>
              <w:t>分类</w:t>
            </w:r>
          </w:p>
        </w:tc>
        <w:tc>
          <w:tcPr>
            <w:tcW w:w="3405" w:type="dxa"/>
            <w:vAlign w:val="center"/>
          </w:tcPr>
          <w:p>
            <w:pPr>
              <w:snapToGrid w:val="0"/>
              <w:spacing w:line="580" w:lineRule="exact"/>
              <w:jc w:val="center"/>
              <w:rPr>
                <w:rFonts w:ascii="黑体" w:hAnsi="黑体" w:eastAsia="黑体"/>
                <w:sz w:val="24"/>
              </w:rPr>
            </w:pPr>
            <w:r>
              <w:rPr>
                <w:rFonts w:ascii="黑体" w:hAnsi="黑体" w:eastAsia="黑体"/>
                <w:sz w:val="24"/>
              </w:rPr>
              <w:t>JT/T489—2019分类标准</w:t>
            </w:r>
          </w:p>
        </w:tc>
        <w:tc>
          <w:tcPr>
            <w:tcW w:w="1380" w:type="dxa"/>
            <w:vAlign w:val="center"/>
          </w:tcPr>
          <w:p>
            <w:pPr>
              <w:snapToGrid w:val="0"/>
              <w:spacing w:line="580" w:lineRule="exact"/>
              <w:jc w:val="center"/>
              <w:rPr>
                <w:rFonts w:ascii="黑体" w:hAnsi="黑体" w:eastAsia="黑体"/>
                <w:sz w:val="24"/>
              </w:rPr>
            </w:pPr>
            <w:r>
              <w:rPr>
                <w:rFonts w:ascii="黑体" w:hAnsi="黑体" w:eastAsia="黑体"/>
                <w:sz w:val="24"/>
              </w:rPr>
              <w:t>全程</w:t>
            </w:r>
          </w:p>
          <w:p>
            <w:pPr>
              <w:snapToGrid w:val="0"/>
              <w:spacing w:line="580" w:lineRule="exact"/>
              <w:jc w:val="center"/>
              <w:rPr>
                <w:rFonts w:ascii="黑体" w:hAnsi="黑体" w:eastAsia="黑体"/>
                <w:sz w:val="24"/>
              </w:rPr>
            </w:pPr>
            <w:r>
              <w:rPr>
                <w:rFonts w:ascii="黑体" w:hAnsi="黑体" w:eastAsia="黑体"/>
                <w:sz w:val="24"/>
              </w:rPr>
              <w:t>（元/车次）</w:t>
            </w:r>
          </w:p>
        </w:tc>
        <w:tc>
          <w:tcPr>
            <w:tcW w:w="1395" w:type="dxa"/>
            <w:vAlign w:val="center"/>
          </w:tcPr>
          <w:p>
            <w:pPr>
              <w:snapToGrid w:val="0"/>
              <w:spacing w:line="580" w:lineRule="exact"/>
              <w:jc w:val="center"/>
              <w:rPr>
                <w:rFonts w:ascii="黑体" w:hAnsi="黑体" w:eastAsia="黑体"/>
                <w:sz w:val="24"/>
              </w:rPr>
            </w:pPr>
            <w:r>
              <w:rPr>
                <w:rFonts w:ascii="黑体" w:hAnsi="黑体" w:eastAsia="黑体"/>
                <w:sz w:val="24"/>
              </w:rPr>
              <w:t>左汊</w:t>
            </w:r>
          </w:p>
          <w:p>
            <w:pPr>
              <w:snapToGrid w:val="0"/>
              <w:spacing w:line="580" w:lineRule="exact"/>
              <w:jc w:val="center"/>
              <w:rPr>
                <w:rFonts w:ascii="黑体" w:hAnsi="黑体" w:eastAsia="黑体"/>
                <w:sz w:val="24"/>
              </w:rPr>
            </w:pPr>
            <w:r>
              <w:rPr>
                <w:rFonts w:ascii="黑体" w:hAnsi="黑体" w:eastAsia="黑体"/>
                <w:sz w:val="24"/>
              </w:rPr>
              <w:t>（元/车次）</w:t>
            </w:r>
          </w:p>
        </w:tc>
        <w:tc>
          <w:tcPr>
            <w:tcW w:w="1425" w:type="dxa"/>
            <w:vAlign w:val="center"/>
          </w:tcPr>
          <w:p>
            <w:pPr>
              <w:snapToGrid w:val="0"/>
              <w:spacing w:line="580" w:lineRule="exact"/>
              <w:jc w:val="center"/>
              <w:rPr>
                <w:rFonts w:ascii="黑体" w:hAnsi="黑体" w:eastAsia="黑体"/>
                <w:sz w:val="24"/>
              </w:rPr>
            </w:pPr>
            <w:r>
              <w:rPr>
                <w:rFonts w:ascii="黑体" w:hAnsi="黑体" w:eastAsia="黑体"/>
                <w:sz w:val="24"/>
              </w:rPr>
              <w:t>右汊</w:t>
            </w:r>
          </w:p>
          <w:p>
            <w:pPr>
              <w:snapToGrid w:val="0"/>
              <w:spacing w:line="580" w:lineRule="exact"/>
              <w:jc w:val="center"/>
              <w:rPr>
                <w:rFonts w:ascii="黑体" w:hAnsi="黑体" w:eastAsia="黑体"/>
                <w:sz w:val="24"/>
              </w:rPr>
            </w:pPr>
            <w:r>
              <w:rPr>
                <w:rFonts w:ascii="黑体" w:hAnsi="黑体" w:eastAsia="黑体"/>
                <w:sz w:val="24"/>
              </w:rPr>
              <w:t>（元/车次）</w:t>
            </w:r>
          </w:p>
        </w:tc>
      </w:tr>
      <w:tr>
        <w:trPr>
          <w:trHeight w:val="624" w:hRule="atLeast"/>
          <w:jc w:val="center"/>
        </w:trPr>
        <w:tc>
          <w:tcPr>
            <w:tcW w:w="93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第1类</w:t>
            </w:r>
          </w:p>
        </w:tc>
        <w:tc>
          <w:tcPr>
            <w:tcW w:w="340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2轴，车长小于6000mm且最大允许总质量小于4500kg</w:t>
            </w:r>
          </w:p>
        </w:tc>
        <w:tc>
          <w:tcPr>
            <w:tcW w:w="13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30</w:t>
            </w:r>
          </w:p>
        </w:tc>
        <w:tc>
          <w:tcPr>
            <w:tcW w:w="139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25 </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5 </w:t>
            </w:r>
          </w:p>
        </w:tc>
      </w:tr>
      <w:tr>
        <w:trPr>
          <w:trHeight w:val="624" w:hRule="atLeast"/>
          <w:jc w:val="center"/>
        </w:trPr>
        <w:tc>
          <w:tcPr>
            <w:tcW w:w="93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第2类</w:t>
            </w:r>
          </w:p>
        </w:tc>
        <w:tc>
          <w:tcPr>
            <w:tcW w:w="3405" w:type="dxa"/>
            <w:vAlign w:val="center"/>
          </w:tcPr>
          <w:p>
            <w:pPr>
              <w:snapToGrid w:val="0"/>
              <w:spacing w:line="580" w:lineRule="exact"/>
              <w:ind w:leftChars="-5" w:hanging="9" w:hangingChars="4"/>
              <w:jc w:val="center"/>
              <w:rPr>
                <w:rFonts w:hint="eastAsia" w:ascii="仿宋_GB2312" w:eastAsia="仿宋_GB2312"/>
                <w:sz w:val="24"/>
              </w:rPr>
            </w:pPr>
            <w:r>
              <w:rPr>
                <w:rFonts w:hint="eastAsia" w:ascii="仿宋_GB2312" w:eastAsia="仿宋_GB2312"/>
                <w:sz w:val="24"/>
              </w:rPr>
              <w:t>2轴，车长不小于6000mm或最大允许总质量不小于4500kg</w:t>
            </w:r>
          </w:p>
        </w:tc>
        <w:tc>
          <w:tcPr>
            <w:tcW w:w="13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55</w:t>
            </w:r>
          </w:p>
        </w:tc>
        <w:tc>
          <w:tcPr>
            <w:tcW w:w="139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45</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10 </w:t>
            </w:r>
          </w:p>
        </w:tc>
      </w:tr>
      <w:tr>
        <w:trPr>
          <w:trHeight w:val="680" w:hRule="atLeast"/>
          <w:jc w:val="center"/>
        </w:trPr>
        <w:tc>
          <w:tcPr>
            <w:tcW w:w="93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第3类</w:t>
            </w:r>
          </w:p>
        </w:tc>
        <w:tc>
          <w:tcPr>
            <w:tcW w:w="340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3轴</w:t>
            </w:r>
          </w:p>
        </w:tc>
        <w:tc>
          <w:tcPr>
            <w:tcW w:w="13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85</w:t>
            </w:r>
          </w:p>
        </w:tc>
        <w:tc>
          <w:tcPr>
            <w:tcW w:w="139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70</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15 </w:t>
            </w:r>
          </w:p>
        </w:tc>
      </w:tr>
      <w:tr>
        <w:trPr>
          <w:trHeight w:val="680" w:hRule="atLeast"/>
          <w:jc w:val="center"/>
        </w:trPr>
        <w:tc>
          <w:tcPr>
            <w:tcW w:w="93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第4类</w:t>
            </w:r>
          </w:p>
        </w:tc>
        <w:tc>
          <w:tcPr>
            <w:tcW w:w="340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4轴</w:t>
            </w:r>
          </w:p>
        </w:tc>
        <w:tc>
          <w:tcPr>
            <w:tcW w:w="13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110</w:t>
            </w:r>
          </w:p>
        </w:tc>
        <w:tc>
          <w:tcPr>
            <w:tcW w:w="139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95</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15</w:t>
            </w:r>
          </w:p>
        </w:tc>
      </w:tr>
      <w:tr>
        <w:trPr>
          <w:trHeight w:val="680" w:hRule="atLeast"/>
          <w:jc w:val="center"/>
        </w:trPr>
        <w:tc>
          <w:tcPr>
            <w:tcW w:w="93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第5类</w:t>
            </w:r>
          </w:p>
        </w:tc>
        <w:tc>
          <w:tcPr>
            <w:tcW w:w="340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5轴</w:t>
            </w:r>
          </w:p>
        </w:tc>
        <w:tc>
          <w:tcPr>
            <w:tcW w:w="13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120</w:t>
            </w:r>
          </w:p>
        </w:tc>
        <w:tc>
          <w:tcPr>
            <w:tcW w:w="139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100</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20 </w:t>
            </w:r>
          </w:p>
        </w:tc>
      </w:tr>
      <w:tr>
        <w:trPr>
          <w:trHeight w:val="680" w:hRule="atLeast"/>
          <w:jc w:val="center"/>
        </w:trPr>
        <w:tc>
          <w:tcPr>
            <w:tcW w:w="93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第6类</w:t>
            </w:r>
          </w:p>
        </w:tc>
        <w:tc>
          <w:tcPr>
            <w:tcW w:w="340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6轴</w:t>
            </w:r>
          </w:p>
        </w:tc>
        <w:tc>
          <w:tcPr>
            <w:tcW w:w="13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150</w:t>
            </w:r>
          </w:p>
        </w:tc>
        <w:tc>
          <w:tcPr>
            <w:tcW w:w="139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125</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 xml:space="preserve">25 </w:t>
            </w:r>
          </w:p>
        </w:tc>
      </w:tr>
      <w:tr>
        <w:trPr>
          <w:trHeight w:val="680" w:hRule="atLeast"/>
          <w:jc w:val="center"/>
        </w:trPr>
        <w:tc>
          <w:tcPr>
            <w:tcW w:w="8535" w:type="dxa"/>
            <w:gridSpan w:val="5"/>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六轴以上的货车，在第6类货车收费标准的基础上，每增加一轴，按1.1倍系数确定收费标准；10轴及以上货车收费标准按10轴货车标准执行。</w:t>
            </w:r>
          </w:p>
        </w:tc>
      </w:tr>
    </w:tbl>
    <w:p>
      <w:pPr>
        <w:pStyle w:val="3"/>
        <w:spacing w:line="580" w:lineRule="exact"/>
        <w:rPr>
          <w:rFonts w:hint="eastAsia"/>
        </w:rPr>
      </w:pPr>
      <w:r>
        <w:rPr>
          <w:rFonts w:hint="eastAsia"/>
        </w:rPr>
        <w:t>（三）</w:t>
      </w:r>
      <w:r>
        <w:t>其他长江公路大桥</w:t>
      </w:r>
      <w:r>
        <w:rPr>
          <w:rFonts w:hint="eastAsia"/>
        </w:rPr>
        <w:t>货车</w:t>
      </w:r>
      <w:r>
        <w:t>收费标准</w:t>
      </w:r>
    </w:p>
    <w:tbl>
      <w:tblPr>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6180"/>
        <w:gridCol w:w="1425"/>
      </w:tblGrid>
      <w:tr>
        <w:trPr>
          <w:trHeight w:val="734" w:hRule="atLeast"/>
          <w:tblHeader/>
          <w:jc w:val="center"/>
        </w:trPr>
        <w:tc>
          <w:tcPr>
            <w:tcW w:w="961" w:type="dxa"/>
            <w:vAlign w:val="center"/>
          </w:tcPr>
          <w:p>
            <w:pPr>
              <w:snapToGrid w:val="0"/>
              <w:spacing w:line="580" w:lineRule="exact"/>
              <w:jc w:val="center"/>
              <w:rPr>
                <w:rFonts w:ascii="黑体" w:hAnsi="黑体" w:eastAsia="黑体"/>
                <w:sz w:val="24"/>
              </w:rPr>
            </w:pPr>
            <w:r>
              <w:rPr>
                <w:rFonts w:ascii="黑体" w:hAnsi="黑体" w:eastAsia="黑体"/>
                <w:sz w:val="24"/>
              </w:rPr>
              <w:t>车型</w:t>
            </w:r>
          </w:p>
          <w:p>
            <w:pPr>
              <w:snapToGrid w:val="0"/>
              <w:spacing w:line="580" w:lineRule="exact"/>
              <w:jc w:val="center"/>
              <w:rPr>
                <w:rFonts w:ascii="黑体" w:hAnsi="黑体" w:eastAsia="黑体"/>
                <w:sz w:val="24"/>
              </w:rPr>
            </w:pPr>
            <w:r>
              <w:rPr>
                <w:rFonts w:ascii="黑体" w:hAnsi="黑体" w:eastAsia="黑体"/>
                <w:sz w:val="24"/>
              </w:rPr>
              <w:t>分类</w:t>
            </w:r>
          </w:p>
        </w:tc>
        <w:tc>
          <w:tcPr>
            <w:tcW w:w="6180" w:type="dxa"/>
            <w:vAlign w:val="center"/>
          </w:tcPr>
          <w:p>
            <w:pPr>
              <w:snapToGrid w:val="0"/>
              <w:spacing w:line="580" w:lineRule="exact"/>
              <w:jc w:val="center"/>
              <w:rPr>
                <w:rFonts w:ascii="黑体" w:hAnsi="黑体" w:eastAsia="黑体"/>
                <w:sz w:val="24"/>
              </w:rPr>
            </w:pPr>
            <w:r>
              <w:rPr>
                <w:rFonts w:ascii="黑体" w:hAnsi="黑体" w:eastAsia="黑体"/>
                <w:sz w:val="24"/>
              </w:rPr>
              <w:t>JT/T489—2019分类标准</w:t>
            </w:r>
          </w:p>
        </w:tc>
        <w:tc>
          <w:tcPr>
            <w:tcW w:w="1425" w:type="dxa"/>
            <w:vAlign w:val="top"/>
          </w:tcPr>
          <w:p>
            <w:pPr>
              <w:snapToGrid w:val="0"/>
              <w:spacing w:line="580" w:lineRule="exact"/>
              <w:jc w:val="center"/>
              <w:rPr>
                <w:rFonts w:ascii="黑体" w:hAnsi="黑体" w:eastAsia="黑体"/>
                <w:sz w:val="24"/>
              </w:rPr>
            </w:pPr>
            <w:r>
              <w:rPr>
                <w:rFonts w:ascii="黑体" w:hAnsi="黑体" w:eastAsia="黑体"/>
                <w:sz w:val="24"/>
              </w:rPr>
              <w:t>收费标准</w:t>
            </w:r>
          </w:p>
          <w:p>
            <w:pPr>
              <w:snapToGrid w:val="0"/>
              <w:spacing w:line="580" w:lineRule="exact"/>
              <w:jc w:val="center"/>
              <w:rPr>
                <w:rFonts w:ascii="黑体" w:hAnsi="黑体" w:eastAsia="黑体"/>
                <w:sz w:val="24"/>
              </w:rPr>
            </w:pPr>
            <w:r>
              <w:rPr>
                <w:rFonts w:ascii="黑体" w:hAnsi="黑体" w:eastAsia="黑体"/>
                <w:sz w:val="24"/>
              </w:rPr>
              <w:t>（元/车次）</w:t>
            </w:r>
          </w:p>
        </w:tc>
      </w:tr>
      <w:tr>
        <w:trPr>
          <w:trHeight w:val="567" w:hRule="exact"/>
          <w:jc w:val="center"/>
        </w:trPr>
        <w:tc>
          <w:tcPr>
            <w:tcW w:w="961"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第1类</w:t>
            </w:r>
          </w:p>
        </w:tc>
        <w:tc>
          <w:tcPr>
            <w:tcW w:w="61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2轴，车长小于6000mm且最大允许总质量小于4500kg</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20</w:t>
            </w:r>
          </w:p>
        </w:tc>
      </w:tr>
      <w:tr>
        <w:trPr>
          <w:trHeight w:val="567" w:hRule="exact"/>
          <w:jc w:val="center"/>
        </w:trPr>
        <w:tc>
          <w:tcPr>
            <w:tcW w:w="961"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第2类</w:t>
            </w:r>
          </w:p>
        </w:tc>
        <w:tc>
          <w:tcPr>
            <w:tcW w:w="6180" w:type="dxa"/>
            <w:vAlign w:val="center"/>
          </w:tcPr>
          <w:p>
            <w:pPr>
              <w:snapToGrid w:val="0"/>
              <w:spacing w:line="580" w:lineRule="exact"/>
              <w:rPr>
                <w:rFonts w:hint="eastAsia" w:ascii="仿宋_GB2312" w:eastAsia="仿宋_GB2312"/>
                <w:sz w:val="24"/>
              </w:rPr>
            </w:pPr>
            <w:r>
              <w:rPr>
                <w:rFonts w:hint="eastAsia" w:ascii="仿宋_GB2312" w:eastAsia="仿宋_GB2312"/>
                <w:sz w:val="24"/>
              </w:rPr>
              <w:t>2轴，车长不小于6000mm或最大允许总质量不小于4500kg</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30</w:t>
            </w:r>
          </w:p>
        </w:tc>
      </w:tr>
      <w:tr>
        <w:trPr>
          <w:trHeight w:val="567" w:hRule="exact"/>
          <w:jc w:val="center"/>
        </w:trPr>
        <w:tc>
          <w:tcPr>
            <w:tcW w:w="961"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第3类</w:t>
            </w:r>
          </w:p>
        </w:tc>
        <w:tc>
          <w:tcPr>
            <w:tcW w:w="61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3轴</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45</w:t>
            </w:r>
          </w:p>
        </w:tc>
      </w:tr>
      <w:tr>
        <w:trPr>
          <w:trHeight w:val="818" w:hRule="exact"/>
          <w:jc w:val="center"/>
        </w:trPr>
        <w:tc>
          <w:tcPr>
            <w:tcW w:w="961"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第4类</w:t>
            </w:r>
          </w:p>
        </w:tc>
        <w:tc>
          <w:tcPr>
            <w:tcW w:w="61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4轴</w:t>
            </w:r>
          </w:p>
        </w:tc>
        <w:tc>
          <w:tcPr>
            <w:tcW w:w="1425" w:type="dxa"/>
            <w:tcBorders>
              <w:bottom w:val="single" w:color="auto" w:sz="4" w:space="0"/>
            </w:tcBorders>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70</w:t>
            </w:r>
          </w:p>
        </w:tc>
      </w:tr>
      <w:tr>
        <w:trPr>
          <w:trHeight w:val="567" w:hRule="exact"/>
          <w:jc w:val="center"/>
        </w:trPr>
        <w:tc>
          <w:tcPr>
            <w:tcW w:w="961"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第5类</w:t>
            </w:r>
          </w:p>
        </w:tc>
        <w:tc>
          <w:tcPr>
            <w:tcW w:w="61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5轴</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75</w:t>
            </w:r>
          </w:p>
        </w:tc>
      </w:tr>
      <w:tr>
        <w:trPr>
          <w:trHeight w:val="567" w:hRule="exact"/>
          <w:jc w:val="center"/>
        </w:trPr>
        <w:tc>
          <w:tcPr>
            <w:tcW w:w="961"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第6类</w:t>
            </w:r>
          </w:p>
        </w:tc>
        <w:tc>
          <w:tcPr>
            <w:tcW w:w="6180"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6轴</w:t>
            </w:r>
          </w:p>
        </w:tc>
        <w:tc>
          <w:tcPr>
            <w:tcW w:w="1425" w:type="dxa"/>
            <w:vAlign w:val="center"/>
          </w:tcPr>
          <w:p>
            <w:pPr>
              <w:snapToGrid w:val="0"/>
              <w:spacing w:line="580" w:lineRule="exact"/>
              <w:jc w:val="center"/>
              <w:rPr>
                <w:rFonts w:hint="eastAsia" w:ascii="仿宋_GB2312" w:eastAsia="仿宋_GB2312"/>
                <w:sz w:val="24"/>
              </w:rPr>
            </w:pPr>
            <w:r>
              <w:rPr>
                <w:rFonts w:hint="eastAsia" w:ascii="仿宋_GB2312" w:eastAsia="仿宋_GB2312"/>
                <w:sz w:val="24"/>
              </w:rPr>
              <w:t>100</w:t>
            </w:r>
          </w:p>
        </w:tc>
      </w:tr>
      <w:tr>
        <w:trPr>
          <w:trHeight w:val="736" w:hRule="exact"/>
          <w:jc w:val="center"/>
        </w:trPr>
        <w:tc>
          <w:tcPr>
            <w:tcW w:w="8566" w:type="dxa"/>
            <w:gridSpan w:val="3"/>
            <w:vAlign w:val="center"/>
          </w:tcPr>
          <w:p>
            <w:pPr>
              <w:snapToGrid w:val="0"/>
              <w:spacing w:line="580" w:lineRule="exact"/>
              <w:rPr>
                <w:rFonts w:hint="eastAsia" w:ascii="仿宋_GB2312" w:eastAsia="仿宋_GB2312"/>
                <w:sz w:val="24"/>
              </w:rPr>
            </w:pPr>
            <w:r>
              <w:rPr>
                <w:rFonts w:hint="eastAsia" w:ascii="仿宋_GB2312" w:eastAsia="仿宋_GB2312"/>
                <w:sz w:val="24"/>
              </w:rPr>
              <w:t>六轴以上的货车，在第6类货车收费标准的基础上，每增加一轴，按1.1倍系数确定收费标准；10轴及以上货车收费标准按10轴货车标准执行。</w:t>
            </w:r>
          </w:p>
        </w:tc>
      </w:tr>
    </w:tbl>
    <w:p>
      <w:pPr>
        <w:pStyle w:val="3"/>
        <w:spacing w:line="580" w:lineRule="exact"/>
        <w:rPr>
          <w:rFonts w:hint="eastAsia"/>
        </w:rPr>
      </w:pPr>
      <w:r>
        <w:rPr>
          <w:rFonts w:hint="eastAsia"/>
        </w:rPr>
        <w:t>（三）</w:t>
      </w:r>
      <w:r>
        <w:t>长江公路</w:t>
      </w:r>
      <w:r>
        <w:rPr>
          <w:rFonts w:hint="eastAsia"/>
        </w:rPr>
        <w:t>大桥专项作业车收费标准</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长江公路大桥专项作业车收费标准按同类型货车收费标准执行。</w:t>
      </w:r>
    </w:p>
    <w:p>
      <w:pPr>
        <w:pStyle w:val="2"/>
        <w:spacing w:line="580" w:lineRule="exact"/>
        <w:rPr>
          <w:rFonts w:hint="eastAsia"/>
        </w:rPr>
      </w:pPr>
      <w:r>
        <w:rPr>
          <w:rFonts w:hint="eastAsia"/>
        </w:rPr>
        <w:t>四、有关事项</w:t>
      </w:r>
    </w:p>
    <w:p>
      <w:pPr>
        <w:spacing w:line="580" w:lineRule="exact"/>
        <w:ind w:firstLine="640" w:firstLineChars="200"/>
        <w:rPr>
          <w:rFonts w:hint="eastAsia" w:ascii="仿宋_GB2312" w:eastAsia="仿宋_GB2312"/>
          <w:sz w:val="32"/>
          <w:szCs w:val="32"/>
        </w:rPr>
      </w:pPr>
      <w:r>
        <w:rPr>
          <w:rFonts w:hint="eastAsia" w:ascii="仿宋_GB2312" w:eastAsia="仿宋_GB2312" w:cs="仿宋_GB2312"/>
          <w:sz w:val="32"/>
          <w:szCs w:val="32"/>
        </w:rPr>
        <w:t>（一）执行时间。</w:t>
      </w:r>
      <w:r>
        <w:rPr>
          <w:rFonts w:hint="eastAsia" w:ascii="仿宋_GB2312" w:eastAsia="仿宋_GB2312"/>
          <w:sz w:val="32"/>
          <w:szCs w:val="32"/>
        </w:rPr>
        <w:t>本次车辆通行费计费方式调整自2020年1月1日起执行。</w:t>
      </w:r>
    </w:p>
    <w:p>
      <w:pPr>
        <w:spacing w:line="580" w:lineRule="exact"/>
        <w:ind w:firstLine="640" w:firstLineChars="200"/>
        <w:rPr>
          <w:rFonts w:eastAsia="方正仿宋_GBK"/>
          <w:sz w:val="32"/>
          <w:szCs w:val="32"/>
        </w:rPr>
      </w:pPr>
      <w:r>
        <w:rPr>
          <w:rFonts w:hint="eastAsia" w:ascii="仿宋_GB2312" w:eastAsia="仿宋_GB2312" w:cs="仿宋_GB2312"/>
          <w:sz w:val="32"/>
          <w:szCs w:val="32"/>
        </w:rPr>
        <w:t>（二）建立价格试运行机制。</w:t>
      </w:r>
      <w:r>
        <w:rPr>
          <w:rFonts w:hint="eastAsia" w:ascii="仿宋_GB2312" w:eastAsia="仿宋_GB2312"/>
          <w:sz w:val="32"/>
          <w:szCs w:val="32"/>
        </w:rPr>
        <w:t>为降低风险，保证调整后标准的公平、合理性，先试行1年，试行期满后根据评估结果再行确</w:t>
      </w:r>
      <w:r>
        <w:rPr>
          <w:rFonts w:hint="eastAsia" w:ascii="仿宋_GB2312" w:eastAsia="仿宋_GB2312"/>
          <w:b w:val="0"/>
          <w:bCs w:val="0"/>
          <w:sz w:val="32"/>
          <w:szCs w:val="32"/>
        </w:rPr>
        <w:t>定正式标准。</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10" w:usb3="00000000" w:csb0="00040000" w:csb1="00000000"/>
  </w:font>
  <w:font w:name="楷体">
    <w:altName w:val="楷体_GB2312"/>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style w:type="paragraph" w:default="1" w:styleId="1">
    <w:name w:val="Normal"/>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pPr>
      <w:spacing w:beforeLines="50" w:afterLines="50" w:line="580" w:lineRule="exact"/>
      <w:ind w:firstLine="640" w:firstLineChars="200"/>
      <w:outlineLvl w:val="0"/>
    </w:pPr>
    <w:rPr>
      <w:rFonts w:ascii="Times New Roman" w:hAnsi="Times New Roman" w:eastAsia="黑体"/>
      <w:sz w:val="32"/>
      <w:szCs w:val="32"/>
    </w:rPr>
  </w:style>
  <w:style w:type="paragraph" w:styleId="3">
    <w:name w:val="heading 2"/>
    <w:basedOn w:val="1"/>
    <w:next w:val="1"/>
    <w:pPr>
      <w:spacing w:line="620" w:lineRule="exact"/>
      <w:ind w:firstLine="640" w:firstLineChars="200"/>
      <w:outlineLvl w:val="1"/>
    </w:pPr>
    <w:rPr>
      <w:rFonts w:ascii="楷体_GB2312" w:hAnsi="Times New Roman" w:eastAsia="楷体_GB2312"/>
      <w:sz w:val="32"/>
      <w:szCs w:val="32"/>
    </w:rPr>
  </w:style>
  <w:style w:type="character" w:default="1" w:styleId="4">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2019-12-30T11:31:00Z</dcterms:created>
  <dc:creator>iezii</dc:creator>
  <dcterms:modified xsi:type="dcterms:W3CDTF">2022-12-16T16:33:39Z</dcterms:modified>
  <dc:title>iezii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